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2E" w:rsidRDefault="003E0B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0B2E" w:rsidRDefault="003E0B2E" w:rsidP="003E0B2E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Источник публикации</w:t>
      </w:r>
    </w:p>
    <w:p w:rsidR="003E0B2E" w:rsidRDefault="003E0B2E" w:rsidP="003E0B2E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lang w:eastAsia="ru-RU"/>
        </w:rPr>
      </w:pPr>
      <w:r>
        <w:rPr>
          <w:rFonts w:cs="Calibri"/>
          <w:lang w:eastAsia="ru-RU"/>
        </w:rPr>
        <w:t>"Областная газета", N 227, 08.12.2018,</w:t>
      </w:r>
    </w:p>
    <w:p w:rsidR="003E0B2E" w:rsidRDefault="003E0B2E" w:rsidP="003E0B2E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lang w:eastAsia="ru-RU"/>
        </w:rPr>
      </w:pPr>
      <w:r>
        <w:rPr>
          <w:rFonts w:cs="Calibri"/>
          <w:lang w:eastAsia="ru-RU"/>
        </w:rPr>
        <w:t>Официальный интернет-портал правовой информации Свердловской области http://www.pravo.gov66.ru, 08.12.2018,</w:t>
      </w:r>
    </w:p>
    <w:p w:rsidR="003E0B2E" w:rsidRDefault="003E0B2E" w:rsidP="003E0B2E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lang w:eastAsia="ru-RU"/>
        </w:rPr>
      </w:pPr>
      <w:r>
        <w:rPr>
          <w:rFonts w:cs="Calibri"/>
          <w:lang w:eastAsia="ru-RU"/>
        </w:rPr>
        <w:t>Официальный интернет-портал правовой информации http://www.pravo.gov.ru, 13.12.2018</w:t>
      </w:r>
    </w:p>
    <w:p w:rsidR="003E0B2E" w:rsidRDefault="003E0B2E" w:rsidP="003E0B2E">
      <w:pPr>
        <w:autoSpaceDE w:val="0"/>
        <w:autoSpaceDN w:val="0"/>
        <w:adjustRightInd w:val="0"/>
        <w:spacing w:before="220" w:after="0" w:line="240" w:lineRule="auto"/>
        <w:jc w:val="left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Примечание к документу</w:t>
      </w:r>
    </w:p>
    <w:p w:rsidR="003E0B2E" w:rsidRDefault="003E0B2E" w:rsidP="003E0B2E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Начало действия документа - </w:t>
      </w:r>
      <w:hyperlink r:id="rId5" w:history="1">
        <w:r>
          <w:rPr>
            <w:rFonts w:cs="Calibri"/>
            <w:color w:val="0000FF"/>
            <w:lang w:eastAsia="ru-RU"/>
          </w:rPr>
          <w:t>01.01.2019</w:t>
        </w:r>
      </w:hyperlink>
      <w:r>
        <w:rPr>
          <w:rFonts w:cs="Calibri"/>
          <w:lang w:eastAsia="ru-RU"/>
        </w:rPr>
        <w:t>.</w:t>
      </w:r>
    </w:p>
    <w:p w:rsidR="003E0B2E" w:rsidRDefault="003E0B2E" w:rsidP="003E0B2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left="540"/>
        <w:rPr>
          <w:rFonts w:cs="Calibri"/>
          <w:sz w:val="2"/>
          <w:szCs w:val="2"/>
          <w:lang w:eastAsia="ru-RU"/>
        </w:rPr>
      </w:pPr>
    </w:p>
    <w:p w:rsidR="003E0B2E" w:rsidRDefault="003E0B2E" w:rsidP="003E0B2E">
      <w:pPr>
        <w:autoSpaceDE w:val="0"/>
        <w:autoSpaceDN w:val="0"/>
        <w:adjustRightInd w:val="0"/>
        <w:spacing w:after="0" w:line="240" w:lineRule="auto"/>
        <w:ind w:left="540"/>
        <w:rPr>
          <w:rFonts w:cs="Calibri"/>
          <w:lang w:eastAsia="ru-RU"/>
        </w:rPr>
      </w:pPr>
      <w:r>
        <w:rPr>
          <w:rFonts w:cs="Calibri"/>
          <w:lang w:eastAsia="ru-RU"/>
        </w:rPr>
        <w:t>Документ применяется к правоотношениям по 31 декабря 2027 года включительно (</w:t>
      </w:r>
      <w:hyperlink r:id="rId6" w:history="1">
        <w:r>
          <w:rPr>
            <w:rFonts w:cs="Calibri"/>
            <w:color w:val="0000FF"/>
            <w:lang w:eastAsia="ru-RU"/>
          </w:rPr>
          <w:t>пункт 2 статьи 6</w:t>
        </w:r>
      </w:hyperlink>
      <w:r>
        <w:rPr>
          <w:rFonts w:cs="Calibri"/>
          <w:lang w:eastAsia="ru-RU"/>
        </w:rPr>
        <w:t xml:space="preserve"> данного документа).</w:t>
      </w:r>
    </w:p>
    <w:p w:rsidR="003E0B2E" w:rsidRDefault="003E0B2E">
      <w:pPr>
        <w:pStyle w:val="ConsPlusTitlePage"/>
      </w:pPr>
    </w:p>
    <w:p w:rsidR="003E0B2E" w:rsidRDefault="003E0B2E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E0B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0B2E" w:rsidRDefault="003E0B2E">
            <w:pPr>
              <w:pStyle w:val="ConsPlusNormal"/>
            </w:pPr>
            <w:r>
              <w:t>6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0B2E" w:rsidRDefault="003E0B2E">
            <w:pPr>
              <w:pStyle w:val="ConsPlusNormal"/>
              <w:jc w:val="right"/>
            </w:pPr>
            <w:r>
              <w:t>N 145-ОЗ</w:t>
            </w:r>
          </w:p>
        </w:tc>
      </w:tr>
    </w:tbl>
    <w:p w:rsidR="003E0B2E" w:rsidRDefault="003E0B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B2E" w:rsidRDefault="003E0B2E">
      <w:pPr>
        <w:pStyle w:val="ConsPlusNormal"/>
      </w:pPr>
    </w:p>
    <w:p w:rsidR="003E0B2E" w:rsidRDefault="003E0B2E">
      <w:pPr>
        <w:pStyle w:val="ConsPlusTitle"/>
        <w:jc w:val="center"/>
      </w:pPr>
      <w:r>
        <w:t>ЗАКОН</w:t>
      </w:r>
    </w:p>
    <w:p w:rsidR="003E0B2E" w:rsidRDefault="003E0B2E">
      <w:pPr>
        <w:pStyle w:val="ConsPlusTitle"/>
        <w:jc w:val="center"/>
      </w:pPr>
    </w:p>
    <w:p w:rsidR="003E0B2E" w:rsidRDefault="003E0B2E">
      <w:pPr>
        <w:pStyle w:val="ConsPlusTitle"/>
        <w:jc w:val="center"/>
      </w:pPr>
      <w:r>
        <w:t>СВЕРДЛОВСКОЙ ОБЛАСТИ</w:t>
      </w:r>
    </w:p>
    <w:p w:rsidR="003E0B2E" w:rsidRDefault="003E0B2E">
      <w:pPr>
        <w:pStyle w:val="ConsPlusTitle"/>
        <w:jc w:val="center"/>
      </w:pPr>
    </w:p>
    <w:p w:rsidR="003E0B2E" w:rsidRDefault="003E0B2E">
      <w:pPr>
        <w:pStyle w:val="ConsPlusTitle"/>
        <w:jc w:val="center"/>
      </w:pPr>
      <w:r>
        <w:t>О ПРИМЕНЕНИИ НА ТЕРРИТОРИИ СВЕРДЛОВСКОЙ ОБЛАСТИ</w:t>
      </w:r>
    </w:p>
    <w:p w:rsidR="003E0B2E" w:rsidRDefault="003E0B2E">
      <w:pPr>
        <w:pStyle w:val="ConsPlusTitle"/>
        <w:jc w:val="center"/>
      </w:pPr>
      <w:r>
        <w:t>ИНВЕСТИЦИОННОГО НАЛОГОВОГО ВЫЧЕТА ПО НАЛОГУ</w:t>
      </w:r>
    </w:p>
    <w:p w:rsidR="003E0B2E" w:rsidRDefault="003E0B2E">
      <w:pPr>
        <w:pStyle w:val="ConsPlusTitle"/>
        <w:jc w:val="center"/>
      </w:pPr>
      <w:r>
        <w:t>НА ПРИБЫЛЬ ОРГАНИЗАЦИЙ</w:t>
      </w:r>
    </w:p>
    <w:p w:rsidR="003E0B2E" w:rsidRDefault="003E0B2E">
      <w:pPr>
        <w:pStyle w:val="ConsPlusNormal"/>
      </w:pPr>
    </w:p>
    <w:p w:rsidR="003E0B2E" w:rsidRDefault="003E0B2E">
      <w:pPr>
        <w:pStyle w:val="ConsPlusNormal"/>
        <w:jc w:val="right"/>
      </w:pPr>
      <w:proofErr w:type="gramStart"/>
      <w:r>
        <w:t>Принят</w:t>
      </w:r>
      <w:proofErr w:type="gramEnd"/>
    </w:p>
    <w:p w:rsidR="003E0B2E" w:rsidRDefault="003E0B2E">
      <w:pPr>
        <w:pStyle w:val="ConsPlusNormal"/>
        <w:jc w:val="right"/>
      </w:pPr>
      <w:r>
        <w:t>Законодательным Собранием</w:t>
      </w:r>
    </w:p>
    <w:p w:rsidR="003E0B2E" w:rsidRDefault="003E0B2E">
      <w:pPr>
        <w:pStyle w:val="ConsPlusNormal"/>
        <w:jc w:val="right"/>
      </w:pPr>
      <w:r>
        <w:t>Свердловской области</w:t>
      </w:r>
    </w:p>
    <w:p w:rsidR="003E0B2E" w:rsidRDefault="003E0B2E">
      <w:pPr>
        <w:pStyle w:val="ConsPlusNormal"/>
        <w:jc w:val="right"/>
      </w:pPr>
      <w:r>
        <w:t>4 декабря 2018 года</w:t>
      </w:r>
    </w:p>
    <w:p w:rsidR="003E0B2E" w:rsidRDefault="003E0B2E">
      <w:pPr>
        <w:pStyle w:val="ConsPlusNormal"/>
      </w:pPr>
    </w:p>
    <w:p w:rsidR="003E0B2E" w:rsidRDefault="003E0B2E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E0B2E" w:rsidRDefault="003E0B2E">
      <w:pPr>
        <w:pStyle w:val="ConsPlusNormal"/>
      </w:pPr>
    </w:p>
    <w:p w:rsidR="003E0B2E" w:rsidRDefault="003E0B2E">
      <w:pPr>
        <w:pStyle w:val="ConsPlusNormal"/>
        <w:ind w:firstLine="540"/>
        <w:jc w:val="both"/>
      </w:pPr>
      <w:r>
        <w:t xml:space="preserve">Настоящим Законом в соответствии с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 регулируются отношения в сфере применения на территории Свердловской области инвестиционного налогового вычета по налогу на прибыль организаций (далее - инвестиционный налоговый вычет).</w:t>
      </w:r>
    </w:p>
    <w:p w:rsidR="003E0B2E" w:rsidRDefault="003E0B2E">
      <w:pPr>
        <w:pStyle w:val="ConsPlusNormal"/>
      </w:pPr>
    </w:p>
    <w:p w:rsidR="003E0B2E" w:rsidRDefault="003E0B2E">
      <w:pPr>
        <w:pStyle w:val="ConsPlusTitle"/>
        <w:ind w:firstLine="540"/>
        <w:jc w:val="both"/>
        <w:outlineLvl w:val="0"/>
      </w:pPr>
      <w:r>
        <w:t>Статья 2. Право на применение инвестиционного налогового вычета</w:t>
      </w:r>
    </w:p>
    <w:p w:rsidR="003E0B2E" w:rsidRDefault="003E0B2E">
      <w:pPr>
        <w:pStyle w:val="ConsPlusNormal"/>
      </w:pPr>
    </w:p>
    <w:p w:rsidR="003E0B2E" w:rsidRDefault="003E0B2E">
      <w:pPr>
        <w:pStyle w:val="ConsPlusNormal"/>
        <w:ind w:firstLine="540"/>
        <w:jc w:val="both"/>
      </w:pPr>
      <w:r>
        <w:t xml:space="preserve">Установить право на применение инвестиционного налогового вычета в отношении расходов налогоплательщиков налога на прибыль организаций (далее - налогоплательщики), указанных в Налоговом </w:t>
      </w:r>
      <w:hyperlink r:id="rId8" w:history="1">
        <w:r>
          <w:rPr>
            <w:color w:val="0000FF"/>
          </w:rPr>
          <w:t>кодексе</w:t>
        </w:r>
      </w:hyperlink>
      <w:r>
        <w:t xml:space="preserve"> Российской Федерации, применительно к объектам основных средств, относящимся к организациям или обособленным подразделениям организаций, расположенным на территории Свердловской области.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 xml:space="preserve">Налогоплательщики реализуют право на применение инвестиционного налогового вычета в соответствии с положениями Налогового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и настоящего Закона.</w:t>
      </w:r>
    </w:p>
    <w:p w:rsidR="003E0B2E" w:rsidRDefault="003E0B2E">
      <w:pPr>
        <w:pStyle w:val="ConsPlusNormal"/>
      </w:pPr>
    </w:p>
    <w:p w:rsidR="003E0B2E" w:rsidRDefault="003E0B2E">
      <w:pPr>
        <w:pStyle w:val="ConsPlusTitle"/>
        <w:ind w:firstLine="540"/>
        <w:jc w:val="both"/>
        <w:outlineLvl w:val="0"/>
      </w:pPr>
      <w:r>
        <w:t>Статья 3. Размер инвестиционного налогового вычета</w:t>
      </w:r>
    </w:p>
    <w:p w:rsidR="003E0B2E" w:rsidRDefault="003E0B2E">
      <w:pPr>
        <w:pStyle w:val="ConsPlusNormal"/>
      </w:pPr>
    </w:p>
    <w:p w:rsidR="003E0B2E" w:rsidRDefault="003E0B2E">
      <w:pPr>
        <w:pStyle w:val="ConsPlusNormal"/>
        <w:ind w:firstLine="540"/>
        <w:jc w:val="both"/>
      </w:pPr>
      <w:r>
        <w:t xml:space="preserve">Установить, что размер инвестиционного налогового вычета составляет не более 90 процентов суммы расходов текущего периода на цели, указанные в Налоговом </w:t>
      </w:r>
      <w:hyperlink r:id="rId10" w:history="1">
        <w:r>
          <w:rPr>
            <w:color w:val="0000FF"/>
          </w:rPr>
          <w:t>кодексе</w:t>
        </w:r>
      </w:hyperlink>
      <w:r>
        <w:t xml:space="preserve"> Российской Федерации.</w:t>
      </w:r>
    </w:p>
    <w:p w:rsidR="003E0B2E" w:rsidRDefault="003E0B2E">
      <w:pPr>
        <w:pStyle w:val="ConsPlusNormal"/>
        <w:spacing w:before="220"/>
        <w:ind w:firstLine="540"/>
        <w:jc w:val="both"/>
      </w:pPr>
      <w:proofErr w:type="gramStart"/>
      <w:r>
        <w:lastRenderedPageBreak/>
        <w:t>Предельная величина инвестиционного налогового вычета определяется в размере, равном разнице между расчетной суммой налога на прибыль организаций, подлежащей зачислению в областной бюджет за налоговый (отчетный) период, определенной налогоплательщиком без учета положений настоящего Закона, и расчетной суммой налога на прибыль организаций, подлежащей зачислению в областной бюджет за налоговый (отчетный) период, определенной без учета положений настоящего Закона, при условии применения ставки налога</w:t>
      </w:r>
      <w:proofErr w:type="gramEnd"/>
      <w:r>
        <w:t xml:space="preserve"> на прибыль организаций в размере, составляющем 5 процентов.</w:t>
      </w:r>
    </w:p>
    <w:p w:rsidR="003E0B2E" w:rsidRDefault="003E0B2E">
      <w:pPr>
        <w:pStyle w:val="ConsPlusNormal"/>
        <w:spacing w:before="220"/>
        <w:ind w:firstLine="540"/>
        <w:jc w:val="both"/>
      </w:pPr>
      <w:proofErr w:type="gramStart"/>
      <w:r>
        <w:t xml:space="preserve">Сумма расходов налогоплательщика, указанных в Налоговом </w:t>
      </w:r>
      <w:hyperlink r:id="rId11" w:history="1">
        <w:r>
          <w:rPr>
            <w:color w:val="0000FF"/>
          </w:rPr>
          <w:t>кодексе</w:t>
        </w:r>
      </w:hyperlink>
      <w:r>
        <w:t xml:space="preserve"> Российской Федерации, превышающая в налоговом (отчетном) периоде предельную величину инвестиционного налогового вычета, может быть учтена при определении инвестиционного налогового вычета в течение трех последовательных налоговых периодов, считая с налогового периода, следующего за налоговым периодом, в котором сумма таких расходов превысила предельную величину инвестиционного налогового вычета.</w:t>
      </w:r>
      <w:proofErr w:type="gramEnd"/>
    </w:p>
    <w:p w:rsidR="003E0B2E" w:rsidRDefault="003E0B2E">
      <w:pPr>
        <w:pStyle w:val="ConsPlusNormal"/>
      </w:pPr>
    </w:p>
    <w:p w:rsidR="003E0B2E" w:rsidRDefault="003E0B2E">
      <w:pPr>
        <w:pStyle w:val="ConsPlusTitle"/>
        <w:ind w:firstLine="540"/>
        <w:jc w:val="both"/>
        <w:outlineLvl w:val="0"/>
      </w:pPr>
      <w:r>
        <w:t>Статья 4. Налогоплательщики, которым предоставляется право на применение инвестиционного налогового вычета</w:t>
      </w:r>
    </w:p>
    <w:p w:rsidR="003E0B2E" w:rsidRDefault="003E0B2E">
      <w:pPr>
        <w:pStyle w:val="ConsPlusNormal"/>
      </w:pPr>
    </w:p>
    <w:p w:rsidR="003E0B2E" w:rsidRDefault="003E0B2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Право на применение инвестиционного налогового вычета предоставляется организациям, имеющим статус участника регионального инвестиционного проекта в сфере туризма в соответствии с Областным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туризме и туристской деятельности в Свердловской области", удельный вес доходов которых от осуществления одного или нескольких видов деятельности, указанных в </w:t>
      </w:r>
      <w:hyperlink w:anchor="P35" w:history="1">
        <w:r>
          <w:rPr>
            <w:color w:val="0000FF"/>
          </w:rPr>
          <w:t>пункте 2</w:t>
        </w:r>
      </w:hyperlink>
      <w:r>
        <w:t xml:space="preserve"> настоящей статьи, составляет в общей сумме их доходов не менее 70 процентов, у которых не</w:t>
      </w:r>
      <w:proofErr w:type="gramEnd"/>
      <w:r>
        <w:t xml:space="preserve"> имеется задолженности по налогам и сборам, уплачиваемым в бюджеты всех уровней бюджетной системы Российской Федерации, а также по страховым взносам в государственные внебюджетные фонды на последнее число налогового (отчетного) периода, за который такой организации предоставляется право на применение инвестиционного налогового вычета.</w:t>
      </w:r>
    </w:p>
    <w:p w:rsidR="003E0B2E" w:rsidRDefault="003E0B2E">
      <w:pPr>
        <w:pStyle w:val="ConsPlusNormal"/>
        <w:spacing w:before="220"/>
        <w:ind w:firstLine="540"/>
        <w:jc w:val="both"/>
      </w:pPr>
      <w:bookmarkStart w:id="0" w:name="P35"/>
      <w:bookmarkEnd w:id="0"/>
      <w:r>
        <w:t>2. Организации предоставляется право на применение инвестиционного налогового вычета в случае, если удельный вес ее доходов составляет не менее 70 процентов от осуществления одного или нескольких из следующих видов деятельности: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1) видов деятельности, входящих в группу "Рыбоводство пресноводное"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2) видов деятельности, входящих в подкласс "Деятельность внутреннего водного пассажирского транспорта"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3) видов деятельности, входящих в подкласс "Деятельность пассажирского воздушного транспорта"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4) видов деятельности, входящих в подгруппу "Деятельность вспомогательная, связанная с воздушным транспортом"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5) видов деятельности, входящих в класс "Деятельность по предоставлению мест для временного проживания"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 xml:space="preserve">6) видов деятельности, входящих в подгруппу "Деятельность ресторанов и кафе с полным ресторанным обслуживанием, кафетериев, ресторанов быстрого питания и самообслуживания" в </w:t>
      </w:r>
      <w:r>
        <w:lastRenderedPageBreak/>
        <w:t>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7) видов деятельности, входящих в подгруппу "Деятельность по приготовлению и/или продаже пищи, готовой к непосредственному употреблению на месте, с транспортных средств или передвижных лавок"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8) видов деятельности, входящих в подкласс "Деятельность предприятий общественного питания по обслуживанию торжественных мероприятий и прочим видам организации питания"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9) видов деятельности, входящих в подкласс "Подача напитков"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10) видов деятельности, входящих в группу "Деятельность в области демонстрации кинофильмов"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11) видов деятельности, входящих в подгруппу "Страхование для путешественника, выезжающего за пределы постоянного проживания"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12) видов деятельности, входящих в группу "Прокат и аренда товаров для отдыха и спортивных товаров"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13) видов деятельности, входящих в класс "Деятельность туристических агентств и прочих организаций, предоставляющих услуги в сфере туризма"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14) видов деятельности, входящих в подкласс "Деятельность по комплексному обслуживанию помещений"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15) видов деятельности, входящих в подкласс "Предоставление услуг по благоустройству ландшафта"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16) видов деятельности, входящих в подкласс "Деятельность по организации конференций и выставок"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17) видов деятельности, входящих в группу "Образование дополнительное детей и взрослых"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18) видов деятельности, входящих в подгруппу "Деятельность массажных салонов"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19) видов деятельности, входящих в подгруппу "Деятельность санаторно-курортных организаций"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lastRenderedPageBreak/>
        <w:t>20) видов деятельности, входящих в класс "Деятельность библиотек, архивов, музеев и прочих объектов культуры"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21) видов деятельности, входящих в класс "Деятельность в области спорта, отдыха и развлечений"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22) видов деятельности, входящих в класс "Деятельность творческая, деятельность в области искусства и организации развлечений"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23) видов деятельности, входящих в группу "Стирка и химическая чистка текстильных и меховых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24) видов деятельности, входящих в группу "Предоставление услуг парикмахерскими и салонами красоты" в соответствии с федеральным законодательством, устанавливающим классификацию видов экономической деятельности;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>25) видов деятельности, входящих в группу "Деятельность физкультурно-оздоровительная" в соответствии с федеральным законодательством, устанавливающим классификацию видов экономической деятельности.</w:t>
      </w:r>
    </w:p>
    <w:p w:rsidR="003E0B2E" w:rsidRDefault="003E0B2E">
      <w:pPr>
        <w:pStyle w:val="ConsPlusNormal"/>
      </w:pPr>
    </w:p>
    <w:p w:rsidR="003E0B2E" w:rsidRDefault="003E0B2E">
      <w:pPr>
        <w:pStyle w:val="ConsPlusTitle"/>
        <w:ind w:firstLine="540"/>
        <w:jc w:val="both"/>
        <w:outlineLvl w:val="0"/>
      </w:pPr>
      <w:r>
        <w:t>Статья 5. Объекты основных средств, в отношении которых налогоплательщикам предоставляется право на применение инвестиционного налогового вычета</w:t>
      </w:r>
    </w:p>
    <w:p w:rsidR="003E0B2E" w:rsidRDefault="003E0B2E">
      <w:pPr>
        <w:pStyle w:val="ConsPlusNormal"/>
      </w:pPr>
    </w:p>
    <w:p w:rsidR="003E0B2E" w:rsidRDefault="003E0B2E">
      <w:pPr>
        <w:pStyle w:val="ConsPlusNormal"/>
        <w:ind w:firstLine="540"/>
        <w:jc w:val="both"/>
      </w:pPr>
      <w:proofErr w:type="gramStart"/>
      <w:r>
        <w:t xml:space="preserve">Налогоплательщикам предоставляется право на применение инвестиционного налогового вычета в отношении объектов основных средств, созданных или приобретенных в результате реализации регионального инвестиционного проекта в сфере туризма после получения этими налогоплательщиками статуса участника регионального инвестиционного проекта в сфере туризма в соответствии с Областным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туризме и туристской деятельности в Свердловской области", за исключением объектов основных средств, приобретенных этими налогоплательщиками в результате</w:t>
      </w:r>
      <w:proofErr w:type="gramEnd"/>
      <w:r>
        <w:t xml:space="preserve"> реорганизации, и объектов основных средств, приобретенных этими налогоплательщиками у лиц, являющихся взаимозависимыми и (или) </w:t>
      </w:r>
      <w:proofErr w:type="spellStart"/>
      <w:r>
        <w:t>аффилированными</w:t>
      </w:r>
      <w:proofErr w:type="spellEnd"/>
      <w:r>
        <w:t xml:space="preserve"> по отношению к таким налогоплательщикам.</w:t>
      </w:r>
    </w:p>
    <w:p w:rsidR="003E0B2E" w:rsidRDefault="003E0B2E">
      <w:pPr>
        <w:pStyle w:val="ConsPlusNormal"/>
      </w:pPr>
    </w:p>
    <w:p w:rsidR="003E0B2E" w:rsidRDefault="003E0B2E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3E0B2E" w:rsidRDefault="003E0B2E">
      <w:pPr>
        <w:pStyle w:val="ConsPlusNormal"/>
      </w:pPr>
    </w:p>
    <w:p w:rsidR="003E0B2E" w:rsidRDefault="003E0B2E">
      <w:pPr>
        <w:pStyle w:val="ConsPlusNormal"/>
        <w:ind w:firstLine="540"/>
        <w:jc w:val="both"/>
      </w:pPr>
      <w:r>
        <w:t>1. Настоящий Закон вступает в силу с 1 января 2019 года.</w:t>
      </w:r>
    </w:p>
    <w:p w:rsidR="003E0B2E" w:rsidRDefault="003E0B2E">
      <w:pPr>
        <w:pStyle w:val="ConsPlusNormal"/>
        <w:spacing w:before="220"/>
        <w:ind w:firstLine="540"/>
        <w:jc w:val="both"/>
      </w:pPr>
      <w:r>
        <w:t xml:space="preserve">2. Положения настоящего Закона в соответствии с Налоговым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применяются по 31 декабря 2027 года включительно.</w:t>
      </w:r>
    </w:p>
    <w:p w:rsidR="003E0B2E" w:rsidRDefault="003E0B2E">
      <w:pPr>
        <w:pStyle w:val="ConsPlusNormal"/>
      </w:pPr>
    </w:p>
    <w:p w:rsidR="003E0B2E" w:rsidRDefault="003E0B2E">
      <w:pPr>
        <w:pStyle w:val="ConsPlusNormal"/>
        <w:jc w:val="right"/>
      </w:pPr>
      <w:r>
        <w:t>Губернатор</w:t>
      </w:r>
    </w:p>
    <w:p w:rsidR="003E0B2E" w:rsidRDefault="003E0B2E">
      <w:pPr>
        <w:pStyle w:val="ConsPlusNormal"/>
        <w:jc w:val="right"/>
      </w:pPr>
      <w:r>
        <w:t>Свердловской области</w:t>
      </w:r>
    </w:p>
    <w:p w:rsidR="003E0B2E" w:rsidRDefault="003E0B2E">
      <w:pPr>
        <w:pStyle w:val="ConsPlusNormal"/>
        <w:jc w:val="right"/>
      </w:pPr>
      <w:r>
        <w:t>Е.В.КУЙВАШЕВ</w:t>
      </w:r>
    </w:p>
    <w:p w:rsidR="003E0B2E" w:rsidRDefault="003E0B2E">
      <w:pPr>
        <w:pStyle w:val="ConsPlusNormal"/>
      </w:pPr>
      <w:r>
        <w:t>г. Екатеринбург</w:t>
      </w:r>
    </w:p>
    <w:p w:rsidR="003E0B2E" w:rsidRDefault="003E0B2E">
      <w:pPr>
        <w:pStyle w:val="ConsPlusNormal"/>
        <w:spacing w:before="220"/>
      </w:pPr>
      <w:r>
        <w:t>6 декабря 2018 года</w:t>
      </w:r>
    </w:p>
    <w:p w:rsidR="003E0B2E" w:rsidRDefault="003E0B2E">
      <w:pPr>
        <w:pStyle w:val="ConsPlusNormal"/>
        <w:spacing w:before="220"/>
      </w:pPr>
      <w:r>
        <w:t>N 145-ОЗ</w:t>
      </w:r>
    </w:p>
    <w:p w:rsidR="003E0B2E" w:rsidRDefault="003E0B2E">
      <w:pPr>
        <w:pStyle w:val="ConsPlusNormal"/>
      </w:pPr>
    </w:p>
    <w:p w:rsidR="003E0B2E" w:rsidRDefault="003E0B2E">
      <w:pPr>
        <w:pStyle w:val="ConsPlusNormal"/>
      </w:pPr>
    </w:p>
    <w:p w:rsidR="003E0B2E" w:rsidRDefault="003E0B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15" w:rsidRDefault="00222515"/>
    <w:sectPr w:rsidR="00222515" w:rsidSect="00FA312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0B2E"/>
    <w:rsid w:val="00001F56"/>
    <w:rsid w:val="00071678"/>
    <w:rsid w:val="001A5777"/>
    <w:rsid w:val="00222515"/>
    <w:rsid w:val="002225F2"/>
    <w:rsid w:val="00234412"/>
    <w:rsid w:val="00237AF5"/>
    <w:rsid w:val="002F50AA"/>
    <w:rsid w:val="003E0B2E"/>
    <w:rsid w:val="00A62E90"/>
    <w:rsid w:val="00B74B8C"/>
    <w:rsid w:val="00B95190"/>
    <w:rsid w:val="00E1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56"/>
    <w:rPr>
      <w:sz w:val="22"/>
      <w:szCs w:val="22"/>
      <w:lang w:eastAsia="en-US"/>
    </w:rPr>
  </w:style>
  <w:style w:type="paragraph" w:customStyle="1" w:styleId="ConsPlusNormal">
    <w:name w:val="ConsPlusNormal"/>
    <w:rsid w:val="003E0B2E"/>
    <w:pPr>
      <w:widowControl w:val="0"/>
      <w:autoSpaceDE w:val="0"/>
      <w:autoSpaceDN w:val="0"/>
      <w:jc w:val="left"/>
    </w:pPr>
    <w:rPr>
      <w:rFonts w:eastAsia="Times New Roman" w:cs="Calibri"/>
      <w:sz w:val="22"/>
    </w:rPr>
  </w:style>
  <w:style w:type="paragraph" w:customStyle="1" w:styleId="ConsPlusTitle">
    <w:name w:val="ConsPlusTitle"/>
    <w:rsid w:val="003E0B2E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E0B2E"/>
    <w:pPr>
      <w:widowControl w:val="0"/>
      <w:autoSpaceDE w:val="0"/>
      <w:autoSpaceDN w:val="0"/>
      <w:jc w:val="left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A6A8B51A0FFE4A564704B37921ACDE99013651C1AED92BB1C2E4C47353E31A30F0C2F3417A71B0544E3852D2hBi4G" TargetMode="External"/><Relationship Id="rId13" Type="http://schemas.openxmlformats.org/officeDocument/2006/relationships/hyperlink" Target="consultantplus://offline/ref=0EA6A8B51A0FFE4A56471ABE6F4DF2D49B0B6A5CC6ACDB75E49EE2932C03E54F62B09CAA11363ABC57582453D1A267F4ECh7i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A6A8B51A0FFE4A564704B37921ACDE99013459CDA9D92BB1C2E4C47353E31A22F09AFF457266B65D046B1686B164FCF37F24825455DDh5i1G" TargetMode="External"/><Relationship Id="rId12" Type="http://schemas.openxmlformats.org/officeDocument/2006/relationships/hyperlink" Target="consultantplus://offline/ref=0EA6A8B51A0FFE4A56471ABE6F4DF2D49B0B6A5CC6ACDB75E49EE2932C03E54F62B09CAA11363ABC57582453D1A267F4ECh7i6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60BCCC232197DB4531765EBC9D1EF26169F5A38F5A3DF8E3A0A8EE5DBAA8C5252993C98A4D326174B83CF55055DF7FB734465A8056E6696C38DCBEp5iEG" TargetMode="External"/><Relationship Id="rId11" Type="http://schemas.openxmlformats.org/officeDocument/2006/relationships/hyperlink" Target="consultantplus://offline/ref=0EA6A8B51A0FFE4A564704B37921ACDE99013651C1AED92BB1C2E4C47353E31A30F0C2F3417A71B0544E3852D2hBi4G" TargetMode="External"/><Relationship Id="rId5" Type="http://schemas.openxmlformats.org/officeDocument/2006/relationships/hyperlink" Target="consultantplus://offline/ref=6260BCCC232197DB4531765EBC9D1EF26169F5A38F5A3DF8E3A0A8EE5DBAA8C5252993C98A4D326174B83CF55F55DF7FB734465A8056E6696C38DCBEp5iE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A6A8B51A0FFE4A564704B37921ACDE99013651C1AED92BB1C2E4C47353E31A30F0C2F3417A71B0544E3852D2hBi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EA6A8B51A0FFE4A564704B37921ACDE99013651C1AED92BB1C2E4C47353E31A30F0C2F3417A71B0544E3852D2hBi4G" TargetMode="External"/><Relationship Id="rId14" Type="http://schemas.openxmlformats.org/officeDocument/2006/relationships/hyperlink" Target="consultantplus://offline/ref=0EA6A8B51A0FFE4A564704B37921ACDE99013651C1AED92BB1C2E4C47353E31A30F0C2F3417A71B0544E3852D2hB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10484</Characters>
  <Application>Microsoft Office Word</Application>
  <DocSecurity>0</DocSecurity>
  <Lines>87</Lines>
  <Paragraphs>24</Paragraphs>
  <ScaleCrop>false</ScaleCrop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markova</cp:lastModifiedBy>
  <cp:revision>1</cp:revision>
  <dcterms:created xsi:type="dcterms:W3CDTF">2018-12-18T06:34:00Z</dcterms:created>
  <dcterms:modified xsi:type="dcterms:W3CDTF">2018-12-18T06:35:00Z</dcterms:modified>
</cp:coreProperties>
</file>