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B0" w:rsidRDefault="007256B0" w:rsidP="007256B0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Источник публикации</w:t>
      </w:r>
    </w:p>
    <w:p w:rsidR="007256B0" w:rsidRDefault="007256B0" w:rsidP="00725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"Областная газета", N 250, 04.11.2023,</w:t>
      </w:r>
    </w:p>
    <w:p w:rsidR="007256B0" w:rsidRDefault="007256B0" w:rsidP="00725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Официальный интернет-портал правовой информации Свердловской области http://www.pravo.gov66.ru, 04.11.2023,</w:t>
      </w:r>
    </w:p>
    <w:p w:rsidR="007256B0" w:rsidRDefault="007256B0" w:rsidP="00725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Официальный интернет-портал правовой информации http://pravo.gov.ru, 08.11.2023</w:t>
      </w:r>
    </w:p>
    <w:p w:rsidR="007256B0" w:rsidRDefault="007256B0" w:rsidP="007256B0">
      <w:pPr>
        <w:autoSpaceDE w:val="0"/>
        <w:autoSpaceDN w:val="0"/>
        <w:adjustRightInd w:val="0"/>
        <w:spacing w:before="200" w:after="0" w:line="240" w:lineRule="auto"/>
        <w:jc w:val="left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Примечание к документу</w:t>
      </w:r>
    </w:p>
    <w:p w:rsidR="007256B0" w:rsidRDefault="007256B0" w:rsidP="00725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Начало действия документа - 01.01.2024 (за исключением отдельных положений).</w:t>
      </w:r>
    </w:p>
    <w:p w:rsidR="007256B0" w:rsidRDefault="007256B0" w:rsidP="007256B0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  <w:lang w:eastAsia="ru-RU"/>
          </w:rPr>
          <w:t>пунктом 1 статьи 9</w:t>
        </w:r>
      </w:hyperlink>
      <w:r>
        <w:rPr>
          <w:rFonts w:ascii="Tahoma" w:hAnsi="Tahoma" w:cs="Tahoma"/>
          <w:sz w:val="20"/>
          <w:szCs w:val="20"/>
          <w:lang w:eastAsia="ru-RU"/>
        </w:rPr>
        <w:t xml:space="preserve"> данный документ вступает в силу с 1 января 2024 года, за исключением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  <w:lang w:eastAsia="ru-RU"/>
          </w:rPr>
          <w:t>статьи 7</w:t>
        </w:r>
      </w:hyperlink>
      <w:r>
        <w:rPr>
          <w:rFonts w:ascii="Tahoma" w:hAnsi="Tahoma" w:cs="Tahoma"/>
          <w:sz w:val="20"/>
          <w:szCs w:val="20"/>
          <w:lang w:eastAsia="ru-RU"/>
        </w:rPr>
        <w:t>, вступающей в силу с 1 января 2025 года.</w:t>
      </w:r>
    </w:p>
    <w:p w:rsidR="007256B0" w:rsidRDefault="007256B0" w:rsidP="007256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sz w:val="2"/>
          <w:szCs w:val="2"/>
          <w:lang w:eastAsia="ru-RU"/>
        </w:rPr>
      </w:pPr>
    </w:p>
    <w:p w:rsidR="007256B0" w:rsidRDefault="007256B0" w:rsidP="00725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 xml:space="preserve">Документ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  <w:lang w:eastAsia="ru-RU"/>
          </w:rPr>
          <w:t>применяется</w:t>
        </w:r>
      </w:hyperlink>
      <w:r>
        <w:rPr>
          <w:rFonts w:ascii="Tahoma" w:hAnsi="Tahoma" w:cs="Tahoma"/>
          <w:sz w:val="20"/>
          <w:szCs w:val="20"/>
          <w:lang w:eastAsia="ru-RU"/>
        </w:rPr>
        <w:t xml:space="preserve"> по 31 декабря 2027 года включительно с учетом особенностей, установленных в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  <w:lang w:eastAsia="ru-RU"/>
          </w:rPr>
          <w:t>пункте 3 статьи 9</w:t>
        </w:r>
      </w:hyperlink>
      <w:r>
        <w:rPr>
          <w:rFonts w:ascii="Tahoma" w:hAnsi="Tahoma" w:cs="Tahoma"/>
          <w:sz w:val="20"/>
          <w:szCs w:val="20"/>
          <w:lang w:eastAsia="ru-RU"/>
        </w:rPr>
        <w:t>.</w:t>
      </w:r>
    </w:p>
    <w:p w:rsidR="007256B0" w:rsidRDefault="007256B0">
      <w:pPr>
        <w:pStyle w:val="ConsPlusTitlePage"/>
      </w:pPr>
      <w:bookmarkStart w:id="0" w:name="_GoBack"/>
      <w:bookmarkEnd w:id="0"/>
    </w:p>
    <w:p w:rsidR="007256B0" w:rsidRDefault="007256B0">
      <w:pPr>
        <w:pStyle w:val="ConsPlusTitlePage"/>
      </w:pPr>
    </w:p>
    <w:p w:rsidR="007256B0" w:rsidRDefault="007256B0">
      <w:pPr>
        <w:pStyle w:val="ConsPlusTitlePage"/>
      </w:pPr>
      <w:r>
        <w:t xml:space="preserve">Документ предоставлен </w:t>
      </w:r>
      <w:hyperlink r:id="rId8">
        <w:r>
          <w:rPr>
            <w:color w:val="0000FF"/>
          </w:rPr>
          <w:t>КонсультантПлюс</w:t>
        </w:r>
      </w:hyperlink>
      <w:r>
        <w:br/>
      </w:r>
    </w:p>
    <w:p w:rsidR="007256B0" w:rsidRDefault="007256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56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56B0" w:rsidRDefault="007256B0">
            <w:pPr>
              <w:pStyle w:val="ConsPlusNormal"/>
            </w:pPr>
            <w:r>
              <w:t>1 ноября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56B0" w:rsidRDefault="007256B0">
            <w:pPr>
              <w:pStyle w:val="ConsPlusNormal"/>
              <w:jc w:val="right"/>
            </w:pPr>
            <w:r>
              <w:t>N 91-ОЗ</w:t>
            </w:r>
          </w:p>
        </w:tc>
      </w:tr>
    </w:tbl>
    <w:p w:rsidR="007256B0" w:rsidRDefault="007256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Title"/>
        <w:jc w:val="center"/>
      </w:pPr>
      <w:r>
        <w:t>ЗАКОН</w:t>
      </w:r>
    </w:p>
    <w:p w:rsidR="007256B0" w:rsidRDefault="007256B0">
      <w:pPr>
        <w:pStyle w:val="ConsPlusTitle"/>
        <w:jc w:val="center"/>
      </w:pPr>
    </w:p>
    <w:p w:rsidR="007256B0" w:rsidRDefault="007256B0">
      <w:pPr>
        <w:pStyle w:val="ConsPlusTitle"/>
        <w:jc w:val="center"/>
      </w:pPr>
      <w:r>
        <w:t>СВЕРДЛОВСКОЙ ОБЛАСТИ</w:t>
      </w:r>
    </w:p>
    <w:p w:rsidR="007256B0" w:rsidRDefault="007256B0">
      <w:pPr>
        <w:pStyle w:val="ConsPlusTitle"/>
        <w:jc w:val="center"/>
      </w:pPr>
    </w:p>
    <w:p w:rsidR="007256B0" w:rsidRDefault="007256B0">
      <w:pPr>
        <w:pStyle w:val="ConsPlusTitle"/>
        <w:jc w:val="center"/>
      </w:pPr>
      <w:r>
        <w:t>О ПРИМЕНЕНИИ НА ТЕРРИТОРИИ СВЕРДЛОВСКОЙ ОБЛАСТИ</w:t>
      </w:r>
    </w:p>
    <w:p w:rsidR="007256B0" w:rsidRDefault="007256B0">
      <w:pPr>
        <w:pStyle w:val="ConsPlusTitle"/>
        <w:jc w:val="center"/>
      </w:pPr>
      <w:r>
        <w:t>ИНВЕСТИЦИОННОГО НАЛОГОВОГО ВЫЧЕТА</w:t>
      </w:r>
    </w:p>
    <w:p w:rsidR="007256B0" w:rsidRDefault="007256B0">
      <w:pPr>
        <w:pStyle w:val="ConsPlusTitle"/>
        <w:jc w:val="center"/>
      </w:pPr>
      <w:r>
        <w:t>ПО НАЛОГУ НА ПРИБЫЛЬ ОРГАНИЗАЦИЙ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jc w:val="right"/>
      </w:pPr>
      <w:r>
        <w:t>Принят</w:t>
      </w:r>
    </w:p>
    <w:p w:rsidR="007256B0" w:rsidRDefault="007256B0">
      <w:pPr>
        <w:pStyle w:val="ConsPlusNormal"/>
        <w:jc w:val="right"/>
      </w:pPr>
      <w:r>
        <w:t>Законодательным Собранием</w:t>
      </w:r>
    </w:p>
    <w:p w:rsidR="007256B0" w:rsidRDefault="007256B0">
      <w:pPr>
        <w:pStyle w:val="ConsPlusNormal"/>
        <w:jc w:val="right"/>
      </w:pPr>
      <w:r>
        <w:t>Свердловской области</w:t>
      </w:r>
    </w:p>
    <w:p w:rsidR="007256B0" w:rsidRDefault="007256B0">
      <w:pPr>
        <w:pStyle w:val="ConsPlusNormal"/>
        <w:jc w:val="right"/>
      </w:pPr>
      <w:r>
        <w:t>24 октября 2023 года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регулируются отношения в сфере применения на территории Свердловской области инвестиционного налогового вычета по налогу на прибыль организаций (далее - инвестиционный налоговый вычет).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Title"/>
        <w:ind w:firstLine="540"/>
        <w:jc w:val="both"/>
        <w:outlineLvl w:val="0"/>
      </w:pPr>
      <w:r>
        <w:t>Статья 2. Право на применение инвестиционного налогового вычета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r>
        <w:t xml:space="preserve">1. Установить право на применение инвестиционного налогового вычета в отношении расходов налогоплательщиков налога на прибыль организаций (далее - налогоплательщики), указанных в Налоговом </w:t>
      </w:r>
      <w:hyperlink r:id="rId10">
        <w:r>
          <w:rPr>
            <w:color w:val="0000FF"/>
          </w:rPr>
          <w:t>кодексе</w:t>
        </w:r>
      </w:hyperlink>
      <w:r>
        <w:t xml:space="preserve">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Свердловской области.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Налогоплательщики реализуют право на применение инвестиционного налогового вычета в соответствии с положениями Налогового </w:t>
      </w:r>
      <w:hyperlink r:id="rId11">
        <w:r>
          <w:rPr>
            <w:color w:val="0000FF"/>
          </w:rPr>
          <w:t>кодекса</w:t>
        </w:r>
      </w:hyperlink>
      <w:r>
        <w:t xml:space="preserve"> Российской Федерации и настоящего Закона.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При наличии у налогоплательщика права на применение инвестиционного налогового вычета по нескольким основаниям, предусмотренным в настоящем Законе, инвестиционный налоговый вычет применяется по одному из таких оснований по выбору налогоплательщика.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lastRenderedPageBreak/>
        <w:t>2. Право на применение инвестиционного налогового вычета не предоставляется: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1) организациям, имеющим задолженность по налогам и сборам, уплачиваемым в бюджеты всех уровней бюджетной системы Российской Федерации, а также по страховым взносам в государственные внебюджетные фонды на последнее число налогового (отчетного) периода, в котором такая организация претендует на применение инвестиционного налогового вычета;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2) организациям, являющимся участниками региональных инвестиционных проектов в соответствии с Налоговым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3) организациям, являющимся участниками специальных инвестиционных контрактов, заключенных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в соответствии с федеральным законом и (или) заключенных от имени Свердловской области исполнительным органом государственной власти Свердловской области, уполномоченным Правительством Свердловской области на заключение специальных инвестиционных контрактов в отраслях промышленности, 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Свердловской области "Об отдельных вопросах реализации в Свердловской области промышленной политики Российской Федерации";</w:t>
      </w:r>
    </w:p>
    <w:p w:rsidR="007256B0" w:rsidRDefault="007256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6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6B0" w:rsidRDefault="007256B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 п. 2 ст. 2 </w:t>
            </w:r>
            <w:hyperlink w:anchor="P142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</w:tr>
    </w:tbl>
    <w:p w:rsidR="007256B0" w:rsidRDefault="007256B0">
      <w:pPr>
        <w:pStyle w:val="ConsPlusNormal"/>
        <w:spacing w:before="280"/>
        <w:ind w:firstLine="540"/>
        <w:jc w:val="both"/>
      </w:pPr>
      <w:bookmarkStart w:id="1" w:name="P31"/>
      <w:bookmarkEnd w:id="1"/>
      <w:r>
        <w:t xml:space="preserve">4) организациям, имеющим статус участника приоритетного инвестиционного проекта Свердловской области по новому строительству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Свердловской области "О государственной поддержке субъектов инвестиционной деятельности в Свердловской области";</w:t>
      </w:r>
    </w:p>
    <w:p w:rsidR="007256B0" w:rsidRDefault="007256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6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6B0" w:rsidRDefault="007256B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5 п. 2 ст. 2 </w:t>
            </w:r>
            <w:hyperlink w:anchor="P142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</w:tr>
    </w:tbl>
    <w:p w:rsidR="007256B0" w:rsidRDefault="007256B0">
      <w:pPr>
        <w:pStyle w:val="ConsPlusNormal"/>
        <w:spacing w:before="280"/>
        <w:ind w:firstLine="540"/>
        <w:jc w:val="both"/>
      </w:pPr>
      <w:bookmarkStart w:id="2" w:name="P33"/>
      <w:bookmarkEnd w:id="2"/>
      <w:r>
        <w:t xml:space="preserve">5) организациям, имеющим статус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Свердловской области "О государственной поддержке субъектов инвестиционной деятельности в Свердловской области".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Title"/>
        <w:ind w:firstLine="540"/>
        <w:jc w:val="both"/>
        <w:outlineLvl w:val="0"/>
      </w:pPr>
      <w:r>
        <w:t>Статья 3. Инвестиционный налоговый вычет для организаций, имеющих статус участника регионального инвестиционного проекта в сфере туризма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bookmarkStart w:id="3" w:name="P37"/>
      <w:bookmarkEnd w:id="3"/>
      <w:r>
        <w:t xml:space="preserve">1. Право на применение инвестиционного налогового вычета предоставляется организациям, имеющим статус участника регионального инвестиционного проекта в сфере туризма в соответствии с Областным </w:t>
      </w:r>
      <w:hyperlink r:id="rId16">
        <w:r>
          <w:rPr>
            <w:color w:val="0000FF"/>
          </w:rPr>
          <w:t>законом</w:t>
        </w:r>
      </w:hyperlink>
      <w:r>
        <w:t xml:space="preserve"> "О туризме и туристской деятельности в Свердловской области", удельный вес доходов которых от осуществления одного или нескольких видов деятельности, указанных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настоящей статьи, составляет в общей сумме их доходов не менее 70 процентов.</w:t>
      </w:r>
    </w:p>
    <w:p w:rsidR="007256B0" w:rsidRDefault="007256B0">
      <w:pPr>
        <w:pStyle w:val="ConsPlusNormal"/>
        <w:spacing w:before="220"/>
        <w:ind w:firstLine="540"/>
        <w:jc w:val="both"/>
      </w:pPr>
      <w:bookmarkStart w:id="4" w:name="P38"/>
      <w:bookmarkEnd w:id="4"/>
      <w:r>
        <w:t xml:space="preserve">2. Организации, указанной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настоящей статьи, предоставляется право на применение инвестиционного налогового вычета в случае, если удельный вес ее доходов составляет не менее 70 процентов от осуществления одного или нескольких из следующих видов деятельности: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1) видов деятельности, входящих в группу "Рыбоводство пресноводное" в соответствии с федеральным законодательством, устанавливающим классификацию видов экономической </w:t>
      </w:r>
      <w:r>
        <w:lastRenderedPageBreak/>
        <w:t>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2) видов деятельности, входящих в подкласс "Деятельность внутреннего водного пассажирского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3) видов деятельности, входящих в подкласс "Деятельность пассажирского воздушного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4) видов деятельности, входящих в подгруппу "Деятельность вспомогательная, связанная с воздушным транспортом"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5) видов деятельности, входящих в класс "Деятельность по предоставлению мест для временного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6) видов деятельности, входящих в подгруппу "Деятельность ресторанов и кафе с полным ресторанным обслуживанием, кафетериев, ресторанов быстрого питания и самообслуживания"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7) видов деятельности, входящих в подгруппу "Деятельность по приготовлению и/или продаже пищи, готовой к непосредственному употреблению на месте, с транспортных средств или передвижных лавок"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8) видов деятельности, входящих в подкласс "Деятельность предприятий общественного питания по обслуживанию торжественных мероприятий и прочим видам организации питания"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9) видов деятельности, входящих в подкласс "Подача напитков"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10) видов деятельности, входящих в группу "Деятельность в области демонстрации кинофильмов"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11) видов деятельности, входящих в подгруппу "Страхование для путешественника, выезжающего за пределы постоянного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12) видов деятельности, входящих в группу "Прокат и аренда товаров для отдыха и спортивных товаров"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13) видов деятельности, входящих в класс "Деятельность туристических агентств и прочих организаций, предоставляющих услуги в сфере туризма"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14) видов деятельности, входящих в подкласс "Деятельность по комплексному обслуживанию помещений"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lastRenderedPageBreak/>
        <w:t>15) видов деятельности, входящих в подкласс "Предоставление услуг по благоустройству ландшафта"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16) видов деятельности, входящих в подкласс "Деятельность по организации конференций и выставок"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17) видов деятельности, входящих в группу "Образование дополнительное детей и взрослых"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18) видов деятельности, входящих в подгруппу "Деятельность массажных салонов"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19) видов деятельности, входящих в подгруппу "Деятельность санаторно-курортных организаций"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20) видов деятельности, входящих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21) видов деятельности, входящих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22) видов деятельности, входящих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23) видов деятельности, входящих в группу "Стирка и химическая чистка текстильных и меховых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24) видов деятельности, входящих в группу "Предоставление услуг парикмахерскими и салонами красоты"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25) видов деятельности, входящих в группу "Деятельность физкультурно-оздоровительная" в соответствии с федеральным законодательством, устанавливающим классификацию видов экономической деятельности.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3. Предельный размер расходов, учитываемых при определении размера </w:t>
      </w:r>
      <w:proofErr w:type="gramStart"/>
      <w:r>
        <w:t>инвестиционного налогового вычета</w:t>
      </w:r>
      <w:proofErr w:type="gramEnd"/>
      <w:r>
        <w:t xml:space="preserve"> текущего налогового (отчетного) периода для налогоплательщиков, указанных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настоящей статьи, составляет в совокупности не более 90 процентов суммы расходов, составляющей: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1) первоначальную стоимость основного средства, определяемую как сумма расходов на его приобретение,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2) величину изменения первоначальной стоимости основного средства в случае его достройки, дооборудования, реконструкции, модернизации, технического перевооружения и по иным аналогичным основаниям (за исключением частичной ликвидации основного средства).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lastRenderedPageBreak/>
        <w:t xml:space="preserve">4. Для налогоплательщиков, указанных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настоящей статьи, предельная величина инвестиционного налогового вычета определяется в размере, равном разнице между расчетной суммой налога на прибыль организаций, подлежащей зачислению в областной бюджет за налоговый (отчетный) период, определенной налогоплательщиком без учета положений настоящего Закона, и расчетной суммой налога на прибыль организаций, подлежащей зачислению в областной бюджет за налоговый (отчетный) период, определенной без учета положений настоящего Закона, при условии применения ставки налога на прибыль организаций в размере, составляющем 5 процентов.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5. Налогоплательщиками, указанными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настоящей статьи, инвестиционный налоговый вычет текущего налогового (отчетного) периода в части, превышающей предельную величину инвестиционного налогового вычета (далее - неиспользованный инвестиционный налоговый вычет), может быть использован для уменьшения сумм налога на прибыль организаций (авансового платежа по налогу на прибыль организаций), подлежащих зачислению в доходную часть областного бюджета, в течение трех последовательных налоговых периодов, считая с налогового периода, следующего за налоговым периодом, в котором образовался неиспользованный инвестиционный налоговый вычет.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6. Налогоплательщикам, указанным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настоящей статьи, предоставляется право на применение инвестиционного налогового вычета в отношении объектов основных средств, относящихся к третьей - седьмой амортизационным группам и созданных или приобретенных в результате реализации регионального инвестиционного проекта в сфере туризма после получения этими налогоплательщиками статуса участника регионального инвестиционного проекта в сфере туризма в соответствии с Областным </w:t>
      </w:r>
      <w:hyperlink r:id="rId17">
        <w:r>
          <w:rPr>
            <w:color w:val="0000FF"/>
          </w:rPr>
          <w:t>законом</w:t>
        </w:r>
      </w:hyperlink>
      <w:r>
        <w:t xml:space="preserve"> "О туризме и туристской деятельности в Свердловской области", за исключением объектов основных средств, приобретенных этими налогоплательщиками в результате реорганизации, и объектов основных средств, приобретенных этими налогоплательщиками у лиц, являющихся взаимозависимыми и (или) аффилированными по отношению к таким налогоплательщикам.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Title"/>
        <w:ind w:firstLine="540"/>
        <w:jc w:val="both"/>
        <w:outlineLvl w:val="0"/>
      </w:pPr>
      <w:r>
        <w:t>Статья 4. Инвестиционный налоговый вычет для организаций, являющихся участниками соглашений о взаимодействии при реализации мероприятий национального проекта "Производительность труда"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bookmarkStart w:id="5" w:name="P73"/>
      <w:bookmarkEnd w:id="5"/>
      <w:r>
        <w:t xml:space="preserve">1. Право на применение инвестиционного налогового вычета предоставляется организациям, являющимся участниками соглашений о взаимодействии при реализации мероприятий национального проекта "Производительность труда", заключенных от имени Свердловской области Правительством Свердловской области в установленном порядке, удельный вес доходов которых от осуществления одного или нескольких видов деятельности, указанных в </w:t>
      </w:r>
      <w:hyperlink w:anchor="P77">
        <w:r>
          <w:rPr>
            <w:color w:val="0000FF"/>
          </w:rPr>
          <w:t>пункте 2</w:t>
        </w:r>
      </w:hyperlink>
      <w:r>
        <w:t xml:space="preserve"> настоящей статьи, составляет в общей сумме их доходов не менее 70 процентов и в которых размер среднемесячной заработной платы работников, осуществляющих трудовую деятельность на территории Свердловской области, составил: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в налоговом периоде, в котором организацией впервые используется право на применение инвестиционного налогового вычета, - не менее 80 процентов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налоговый период, предшествующий налоговому периоду, за который уплачивается налог на прибыль организаций;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в налоговом периоде, в котором организацией во второй раз используется право на применение инвестиционного налогового вычета, - не менее 90 процентов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налоговый период, предшествующий </w:t>
      </w:r>
      <w:r>
        <w:lastRenderedPageBreak/>
        <w:t>налоговому периоду, за который уплачивается налог на прибыль организаций;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в налоговом периоде, в котором организацией в третий и последующие разы используется право на применение инвестиционного налогового вычета, - не менее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налоговый период, предшествующий налоговому периоду, за который уплачивается налог на прибыль организаций.</w:t>
      </w:r>
    </w:p>
    <w:p w:rsidR="007256B0" w:rsidRDefault="007256B0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2. Организации, указанной в </w:t>
      </w:r>
      <w:hyperlink w:anchor="P73">
        <w:r>
          <w:rPr>
            <w:color w:val="0000FF"/>
          </w:rPr>
          <w:t>пункте 1</w:t>
        </w:r>
      </w:hyperlink>
      <w:r>
        <w:t xml:space="preserve"> настоящей статьи, предоставляется право на применение инвестиционного налогового вычета в случае, если удельный вес ее доходов составляет не менее 70 процентов от осуществления одного или нескольких из следующих видов деятельности: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1) видов деятельности, входящих в раздел "Сельское, лесное хозяйство, охота, рыболовство и рыбоводство" в соответствии с федеральным законодательством, устанавливающим классификацию видов экономической деятельности (за исключением видов деятельности, входящих в группу "Выращивание табака и махорки" в соответствии с федеральным законодательством, устанавливающим классификацию видов экономической деятельности);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2) видов деятельности, входящих в раздел "Обрабатывающие производства" в соответствии с федеральным законодательством, устанавливающим классификацию видов экономической деятельности (за исключением видов деятельности, входящих в группы "Перегонка, очистка и смешивание спиртов", "Производство вина из винограда", "Производство сидра и прочих плодовых вин", "Производство прочих недистиллированных напитков из </w:t>
      </w:r>
      <w:proofErr w:type="spellStart"/>
      <w:r>
        <w:t>сброженных</w:t>
      </w:r>
      <w:proofErr w:type="spellEnd"/>
      <w:r>
        <w:t xml:space="preserve"> материалов", "Производство пива" и классы "Производство табачных изделий", "Производство кокса и нефтепродуктов" в соответствии с федеральным законодательством, устанавливающим классификацию видов экономической деятельности);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3) видов деятельности, входящих в раздел "Строительство"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4) видов деятельности, входящих в раздел "Транспортировка и хранение" в соответствии с федеральным законодательством, устанавливающим классификацию видов экономической деятельности (за исключением видов деятельности, входящих в подкласс "Деятельность трубопроводного транспорта" и вид "Хранение и складирование нефти и продуктов ее переработки" в соответствии с федеральным законодательством, устанавливающим классификацию видов экономической деятельности).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3. Предельный размер расходов, учитываемых при определении размера </w:t>
      </w:r>
      <w:proofErr w:type="gramStart"/>
      <w:r>
        <w:t>инвестиционного налогового вычета</w:t>
      </w:r>
      <w:proofErr w:type="gramEnd"/>
      <w:r>
        <w:t xml:space="preserve"> текущего налогового (отчетного) периода для налогоплательщиков, указанных в </w:t>
      </w:r>
      <w:hyperlink w:anchor="P73">
        <w:r>
          <w:rPr>
            <w:color w:val="0000FF"/>
          </w:rPr>
          <w:t>пункте 1</w:t>
        </w:r>
      </w:hyperlink>
      <w:r>
        <w:t xml:space="preserve"> настоящей статьи, составляет в совокупности не более 50 процентов суммы расходов, составляющей: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1) первоначальную стоимость основного средства, определяемую как сумма расходов на его приобретение,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2) величину изменения первоначальной стоимости основного средства в случае его достройки, дооборудования, реконструкции, модернизации, технического перевооружения и по иным аналогичным основаниям (за исключением частичной ликвидации основного средства).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4. Для налогоплательщиков, указанных в </w:t>
      </w:r>
      <w:hyperlink w:anchor="P73">
        <w:r>
          <w:rPr>
            <w:color w:val="0000FF"/>
          </w:rPr>
          <w:t>пункте 1</w:t>
        </w:r>
      </w:hyperlink>
      <w:r>
        <w:t xml:space="preserve"> настоящей статьи, предельная величина инвестиционного налогового вычета определяется в размере, равном разнице между расчетной суммой налога на прибыль организаций, подлежащей зачислению в областной бюджет за налоговый (отчетный) период, определенной налогоплательщиком без учета положений </w:t>
      </w:r>
      <w:r>
        <w:lastRenderedPageBreak/>
        <w:t>настоящего Закона, и расчетной суммой налога на прибыль организаций, подлежащей зачислению в областной бюджет за налоговый (отчетный) период, определенной без учета положений настоящего Закона, при условии применения ставки налога на прибыль организаций в размере, составляющем 10 процентов.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5. Налогоплательщиками, указанными в </w:t>
      </w:r>
      <w:hyperlink w:anchor="P73">
        <w:r>
          <w:rPr>
            <w:color w:val="0000FF"/>
          </w:rPr>
          <w:t>пункте 1</w:t>
        </w:r>
      </w:hyperlink>
      <w:r>
        <w:t xml:space="preserve"> настоящей статьи, неиспользованный инвестиционный налоговый вычет может быть использован для уменьшения сумм налога на прибыль организаций (авансового платежа по налогу на прибыль организаций), подлежащих зачислению в доходную часть областного бюджета, в течение пяти последовательных налоговых периодов, считая с налогового периода, следующего за налоговым периодом, в котором образовался неиспользованный инвестиционный налоговый вычет.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6. Налогоплательщикам, указанным в </w:t>
      </w:r>
      <w:hyperlink w:anchor="P73">
        <w:r>
          <w:rPr>
            <w:color w:val="0000FF"/>
          </w:rPr>
          <w:t>пункте 1</w:t>
        </w:r>
      </w:hyperlink>
      <w:r>
        <w:t xml:space="preserve"> настоящей статьи, предоставляется право на применение инвестиционного налогового вычета в отношении объектов основных средств, относящихся к третьей - седьмой амортизационным группам и приобретенных, созданных, реконструированных, модернизированных или технически перевооруженных после заключения соглашений, указанных в </w:t>
      </w:r>
      <w:hyperlink w:anchor="P73">
        <w:r>
          <w:rPr>
            <w:color w:val="0000FF"/>
          </w:rPr>
          <w:t>пункте 1</w:t>
        </w:r>
      </w:hyperlink>
      <w:r>
        <w:t xml:space="preserve"> настоящей статьи, за исключением объектов основных средств, приобретенных этими налогоплательщиками в результате реорганизации, и объектов основных средств, приобретенных этими налогоплательщиками у лиц, являющихся взаимозависимыми и (или) аффилированными по отношению к таким налогоплательщикам.</w:t>
      </w:r>
    </w:p>
    <w:p w:rsidR="007256B0" w:rsidRDefault="007256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6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6B0" w:rsidRDefault="007256B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14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 по взиманию налога на прибыль организаций за 2024 - 2026 годы.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</w:tr>
    </w:tbl>
    <w:p w:rsidR="007256B0" w:rsidRDefault="007256B0">
      <w:pPr>
        <w:pStyle w:val="ConsPlusTitle"/>
        <w:spacing w:before="280"/>
        <w:ind w:firstLine="540"/>
        <w:jc w:val="both"/>
        <w:outlineLvl w:val="0"/>
      </w:pPr>
      <w:bookmarkStart w:id="7" w:name="P90"/>
      <w:bookmarkEnd w:id="7"/>
      <w:r>
        <w:t>Статья 5. Инвестиционный налоговый вычет для организаций, безвозмездно передавших имущество образовательным организациям, реализующим основные образовательные программы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bookmarkStart w:id="8" w:name="P92"/>
      <w:bookmarkEnd w:id="8"/>
      <w:r>
        <w:t>1. Право на применение инвестиционного налогового вычета предоставляется организациям, безвозмездно передавшим имущество образовательным организациям, реализующим основные образовательные программы, имеющие государственную аккредитацию, и в соответствии с документом, выданным в порядке, установленном Правительством Свердловской области, являющимся участниками образовательно-производственных центров (кластеров), создаваемых на основе интеграции образовательных организаций, реализующих образовательные программы среднего профессионального образования, и организаций, действующих в реальном секторе экономики,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 государственной </w:t>
      </w:r>
      <w:hyperlink r:id="rId18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2. Предельная сумма расходов, учитываемых при определении размера инвестиционного налогового вычета текущего налогового (отчетного) периода для налогоплательщиков, указанных в </w:t>
      </w:r>
      <w:hyperlink w:anchor="P92">
        <w:r>
          <w:rPr>
            <w:color w:val="0000FF"/>
          </w:rPr>
          <w:t>пункте 1</w:t>
        </w:r>
      </w:hyperlink>
      <w:r>
        <w:t xml:space="preserve"> настоящей статьи, составляет в совокупности не более 50 процентов суммы расходов в виде не превышающей 30 миллионов рублей стоимости имущества (включая денежные средства), за исключением легковых автомобилей, безвозмездно переданного указанным в </w:t>
      </w:r>
      <w:hyperlink w:anchor="P92">
        <w:r>
          <w:rPr>
            <w:color w:val="0000FF"/>
          </w:rPr>
          <w:t>пункте 1</w:t>
        </w:r>
      </w:hyperlink>
      <w:r>
        <w:t xml:space="preserve"> настоящей статьи образовательным организациям, реализующим основные образовательные программы.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3. Для налогоплательщиков, указанных в </w:t>
      </w:r>
      <w:hyperlink w:anchor="P92">
        <w:r>
          <w:rPr>
            <w:color w:val="0000FF"/>
          </w:rPr>
          <w:t>пункте 1</w:t>
        </w:r>
      </w:hyperlink>
      <w:r>
        <w:t xml:space="preserve"> настоящей статьи, предельная величина инвестиционного налогового вычета определяется в размере, равном разнице между расчетной суммой налога на прибыль организаций, подлежащей зачислению в областной бюджет за налоговый (отчетный) период, определенной налогоплательщиком без учета положений настоящего Закона, и расчетной суммой налога на прибыль организаций, подлежащей зачислению в областной бюджет за налоговый (отчетный) период, определенной без учета положений настоящего Закона, при условии применения ставки налога на прибыль организаций в </w:t>
      </w:r>
      <w:r>
        <w:lastRenderedPageBreak/>
        <w:t>размере, составляющем 13,5 процента.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4. Налогоплательщиками, указанными в </w:t>
      </w:r>
      <w:hyperlink w:anchor="P92">
        <w:r>
          <w:rPr>
            <w:color w:val="0000FF"/>
          </w:rPr>
          <w:t>пункте 1</w:t>
        </w:r>
      </w:hyperlink>
      <w:r>
        <w:t xml:space="preserve"> настоящей статьи, неиспользованный инвестиционный налоговый вычет не может быть использован для уменьшения сумм налога на прибыль организаций (авансового платежа по налогу на прибыль организаций), подлежащих зачислению в доходную часть областного бюджета.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Title"/>
        <w:ind w:firstLine="540"/>
        <w:jc w:val="both"/>
        <w:outlineLvl w:val="0"/>
      </w:pPr>
      <w:r>
        <w:t>Статья 6. Инвестиционный налоговый вычет для организаций, осуществляющих деятельность в сфере туризма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bookmarkStart w:id="9" w:name="P99"/>
      <w:bookmarkEnd w:id="9"/>
      <w:r>
        <w:t xml:space="preserve">1. Право на применение инвестиционного налогового вычета предоставляется организациям, удельный </w:t>
      </w:r>
      <w:proofErr w:type="gramStart"/>
      <w:r>
        <w:t>вес доходов</w:t>
      </w:r>
      <w:proofErr w:type="gramEnd"/>
      <w:r>
        <w:t xml:space="preserve"> которых от осуществления одного или нескольких видов деятельности, указанных в </w:t>
      </w:r>
      <w:hyperlink w:anchor="P100">
        <w:r>
          <w:rPr>
            <w:color w:val="0000FF"/>
          </w:rPr>
          <w:t>пункте 2</w:t>
        </w:r>
      </w:hyperlink>
      <w:r>
        <w:t xml:space="preserve"> настоящей статьи, составляет в общей сумме их доходов не менее 70 процентов.</w:t>
      </w:r>
    </w:p>
    <w:p w:rsidR="007256B0" w:rsidRDefault="007256B0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 xml:space="preserve">2. Организации, указанной в </w:t>
      </w:r>
      <w:hyperlink w:anchor="P99">
        <w:r>
          <w:rPr>
            <w:color w:val="0000FF"/>
          </w:rPr>
          <w:t>пункте 1</w:t>
        </w:r>
      </w:hyperlink>
      <w:r>
        <w:t xml:space="preserve"> настоящей статьи, предоставляется право на применение инвестиционного налогового вычета в случае, если удельный вес ее доходов составляет не менее 70 процентов от осуществления одного или нескольких из следующих видов деятельности: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1) видов деятельности, входящих в класс "Деятельность по предоставлению мест для временного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2) видов деятельности, входящих в подгруппу "Деятельность ресторанов и кафе с полным ресторанным обслуживанием, кафетериев, ресторанов быстрого питания и самообслуживания"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3) видов деятельности, входящих в подгруппу "Деятельность по приготовлению и/или продаже пищи, готовой к непосредственному употреблению на месте, с транспортных средств или передвижных лавок"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4) видов деятельности, входящих в подкласс "Деятельность предприятий общественного питания по обслуживанию торжественных мероприятий и прочим видам организации питания"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5) видов деятельности, входящих в подкласс "Подача напитков"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6) видов деятельности, входящих в группу "Деятельность в области демонстрации кинофильмов"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7) видов деятельности, входящих в группу "Прокат и аренда товаров для отдыха и спортивных товаров"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8) видов деятельности, входящих в подгруппу "Деятельность по предоставлению экскурсионных туристических услуг"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9) видов деятельности, входящих в подкласс "Предоставление услуг по благоустройству </w:t>
      </w:r>
      <w:r>
        <w:lastRenderedPageBreak/>
        <w:t>ландшафта"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10) видов деятельности, входящих в подкласс "Деятельность по организации конференций и выставок"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11) видов деятельности, входящих в подгруппу "Деятельность санаторно-курортных организаций"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12) видов деятельности, входящих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 (за исключением видов деятельности, входящих в группу "Деятельность библиотек и архивов" в соответствии с федеральным законодательством, устанавливающим классификацию видов экономической деятельности);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13) видов деятельности, входящих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14) видов деятельности, входящих в группу "Деятельность физкультурно-оздоровительная" в соответствии с федеральным законодательством, устанавливающим классификацию видов экономической деятельности.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3. Предельный размер расходов, учитываемых при определении размера </w:t>
      </w:r>
      <w:proofErr w:type="gramStart"/>
      <w:r>
        <w:t>инвестиционного налогового вычета</w:t>
      </w:r>
      <w:proofErr w:type="gramEnd"/>
      <w:r>
        <w:t xml:space="preserve"> текущего налогового (отчетного) периода для налогоплательщиков, указанных в </w:t>
      </w:r>
      <w:hyperlink w:anchor="P99">
        <w:r>
          <w:rPr>
            <w:color w:val="0000FF"/>
          </w:rPr>
          <w:t>пункте 1</w:t>
        </w:r>
      </w:hyperlink>
      <w:r>
        <w:t xml:space="preserve"> настоящей статьи, составляет в совокупности не более 90 процентов суммы расходов, составляющей: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1) первоначальную стоимость основного средства, определяемую как сумма расходов на его приобретение,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2) величину изменения первоначальной стоимости основного средства в случае его достройки, дооборудования, реконструкции, модернизации, технического перевооружения и по иным аналогичным основаниям (за исключением частичной ликвидации основного средства).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4. Для налогоплательщиков, указанных в </w:t>
      </w:r>
      <w:hyperlink w:anchor="P99">
        <w:r>
          <w:rPr>
            <w:color w:val="0000FF"/>
          </w:rPr>
          <w:t>пункте 1</w:t>
        </w:r>
      </w:hyperlink>
      <w:r>
        <w:t xml:space="preserve"> настоящей статьи, предельная величина инвестиционного налогового вычета определяется в размере, равном разнице между расчетной суммой налога на прибыль организаций, подлежащей зачислению в областной бюджет за налоговый (отчетный) период, определенной налогоплательщиком без учета положений настоящего Закона, и расчетной суммой налога на прибыль организаций, подлежащей зачислению в областной бюджет за налоговый (отчетный) период, определенной без учета положений настоящего Закона, при условии применения ставки налога на прибыль организаций в размере, составляющем 5 процентов.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5. Налогоплательщикам, указанным в </w:t>
      </w:r>
      <w:hyperlink w:anchor="P99">
        <w:r>
          <w:rPr>
            <w:color w:val="0000FF"/>
          </w:rPr>
          <w:t>пункте 1</w:t>
        </w:r>
      </w:hyperlink>
      <w:r>
        <w:t xml:space="preserve"> настоящей статьи, предоставляется право на применение инвестиционного налогового вычета в отношении объектов основных средств, включенных в порядке, определенном Правительством Свердловской области, в перечень объектов туристической инфраструктуры и обеспечивающей инфраструктуры и относящихся к третьей - седьмой амортизационным группам, за исключением объектов основных средств, приобретенных этими налогоплательщиками в результате реорганизации, и объектов основных средств, приобретенных этими налогоплательщиками у лиц, являющихся взаимозависимыми и (или) аффилированными по отношению к таким налогоплательщикам.</w:t>
      </w:r>
    </w:p>
    <w:p w:rsidR="007256B0" w:rsidRDefault="007256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6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6B0" w:rsidRDefault="007256B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7 </w:t>
            </w:r>
            <w:hyperlink w:anchor="P14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B0" w:rsidRDefault="007256B0">
            <w:pPr>
              <w:pStyle w:val="ConsPlusNormal"/>
            </w:pPr>
          </w:p>
        </w:tc>
      </w:tr>
    </w:tbl>
    <w:p w:rsidR="007256B0" w:rsidRDefault="007256B0">
      <w:pPr>
        <w:pStyle w:val="ConsPlusTitle"/>
        <w:spacing w:before="280"/>
        <w:ind w:firstLine="540"/>
        <w:jc w:val="both"/>
        <w:outlineLvl w:val="0"/>
      </w:pPr>
      <w:bookmarkStart w:id="11" w:name="P122"/>
      <w:bookmarkEnd w:id="11"/>
      <w:r>
        <w:t>Статья 7. Инвестиционный налоговый вычет для организаций, имеющих статус участника приоритетного инвестиционного проекта Свердловской области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bookmarkStart w:id="12" w:name="P124"/>
      <w:bookmarkEnd w:id="12"/>
      <w:r>
        <w:t>1. Право на применение инвестиционного налогового вычета предоставляется:</w:t>
      </w:r>
    </w:p>
    <w:p w:rsidR="007256B0" w:rsidRDefault="007256B0">
      <w:pPr>
        <w:pStyle w:val="ConsPlusNormal"/>
        <w:spacing w:before="220"/>
        <w:ind w:firstLine="540"/>
        <w:jc w:val="both"/>
      </w:pPr>
      <w:bookmarkStart w:id="13" w:name="P125"/>
      <w:bookmarkEnd w:id="13"/>
      <w:r>
        <w:t xml:space="preserve">1) организациям, имеющим статус участника приоритетного инвестиционного проекта Свердловской области по новому строительству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Свердловской области "О государственной поддержке субъектов инвестиционной деятельности в Свердловской области";</w:t>
      </w:r>
    </w:p>
    <w:p w:rsidR="007256B0" w:rsidRDefault="007256B0">
      <w:pPr>
        <w:pStyle w:val="ConsPlusNormal"/>
        <w:spacing w:before="220"/>
        <w:ind w:firstLine="540"/>
        <w:jc w:val="both"/>
      </w:pPr>
      <w:bookmarkStart w:id="14" w:name="P126"/>
      <w:bookmarkEnd w:id="14"/>
      <w:r>
        <w:t xml:space="preserve">2) организациям, имеющим статус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Свердловской области "О государственной поддержке субъектов инвестиционной деятельности в Свердловской области".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2. Предельный размер расходов, учитываемых при определении размера </w:t>
      </w:r>
      <w:proofErr w:type="gramStart"/>
      <w:r>
        <w:t>инвестиционного налогового вычета</w:t>
      </w:r>
      <w:proofErr w:type="gramEnd"/>
      <w:r>
        <w:t xml:space="preserve"> текущего налогового (отчетного) периода для налогоплательщиков, указанных в </w:t>
      </w:r>
      <w:hyperlink w:anchor="P124">
        <w:r>
          <w:rPr>
            <w:color w:val="0000FF"/>
          </w:rPr>
          <w:t>пункте 1</w:t>
        </w:r>
      </w:hyperlink>
      <w:r>
        <w:t xml:space="preserve"> настоящей статьи, составляет в совокупности не более 50 процентов суммы расходов, составляющей: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1) первоначальную стоимость основного средства, определяемую как сумма расходов на его приобретение,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акцизов;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>2) величину изменения первоначальной стоимости основного средства в случае его достройки, дооборудования, реконструкции, модернизации, технического перевооружения и по иным аналогичным основаниям (за исключением частичной ликвидации основного средства).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3. Для налогоплательщиков, указанных в </w:t>
      </w:r>
      <w:hyperlink w:anchor="P124">
        <w:r>
          <w:rPr>
            <w:color w:val="0000FF"/>
          </w:rPr>
          <w:t>пункте 1</w:t>
        </w:r>
      </w:hyperlink>
      <w:r>
        <w:t xml:space="preserve"> настоящей статьи, предельная величина инвестиционного налогового вычета определяется в размере, равном разнице между расчетной суммой налога на прибыль организаций, подлежащей зачислению в областной бюджет за налоговый (отчетный) период, определенной налогоплательщиком без учета положений настоящего Закона, и расчетной суммой налога на прибыль организаций, подлежащей зачислению в областной бюджет за налоговый (отчетный) период, определенной без учета положений настоящего Закона, при условии применения ставки налога на прибыль организаций в размере, составляющем 13,5 процента.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4. Налогоплательщикам, указанным в </w:t>
      </w:r>
      <w:hyperlink w:anchor="P125">
        <w:r>
          <w:rPr>
            <w:color w:val="0000FF"/>
          </w:rPr>
          <w:t>подпункте 1 пункта 1</w:t>
        </w:r>
      </w:hyperlink>
      <w:r>
        <w:t xml:space="preserve"> настоящей статьи, предоставляется право на применение инвестиционного налогового вычета в отношении объектов основных средств, относящихся к третьей - седьмой амортизационным группам и созданных в результате реализации приоритетного инвестиционного проекта Свердловской области по новому строительству, за исключением объектов основных средств, приобретенных этими налогоплательщиками в результате реорганизации, и объектов основных средств, приобретенных этими налогоплательщиками у лиц, являющихся взаимозависимыми и (или) аффилированными по отношению к таким налогоплательщикам.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Налогоплательщикам, указанным в </w:t>
      </w:r>
      <w:hyperlink w:anchor="P126">
        <w:r>
          <w:rPr>
            <w:color w:val="0000FF"/>
          </w:rPr>
          <w:t>подпункте 2 пункта 1</w:t>
        </w:r>
      </w:hyperlink>
      <w:r>
        <w:t xml:space="preserve"> настоящей статьи, предоставляется право на применение инвестиционного налогового вычета в отношении объектов основных средств, относящихся к третьей - седьмой амортизационным группам и модернизированных, реконструированных или технически перевооруженных в результате реализации приоритетного инвестиционного проекта Свердловской области по модернизации, реконструкции и техническому перевооружению объектов основных фондов, за исключением объектов основных </w:t>
      </w:r>
      <w:r>
        <w:lastRenderedPageBreak/>
        <w:t>средств, приобретенных этими налогоплательщиками в результате реорганизации, и объектов основных средств, приобретенных этими налогоплательщиками у лиц, являющихся взаимозависимыми и (или) аффилированными по отношению к таким налогоплательщикам.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Title"/>
        <w:ind w:firstLine="540"/>
        <w:jc w:val="both"/>
        <w:outlineLvl w:val="0"/>
      </w:pPr>
      <w:r>
        <w:t>Статья 8. Признание утратившим силу Закона Свердловской области "О применении на территории Свердловской области инвестиционного налогового вычета по налогу на прибыль организаций"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21">
        <w:r>
          <w:rPr>
            <w:color w:val="0000FF"/>
          </w:rPr>
          <w:t>Закон</w:t>
        </w:r>
      </w:hyperlink>
      <w:r>
        <w:t xml:space="preserve"> Свердловской области от 6 декабря 2018 года N 145-ОЗ "О применении на территории Свердловской области инвестиционного налогового вычета по налогу на прибыль организаций" ("Областная газета", 2018, 8 декабря, N 227) с изменениями, внесенными Законами Свердловской области от 1 ноября 2019 года </w:t>
      </w:r>
      <w:hyperlink r:id="rId22">
        <w:r>
          <w:rPr>
            <w:color w:val="0000FF"/>
          </w:rPr>
          <w:t>N 79-ОЗ</w:t>
        </w:r>
      </w:hyperlink>
      <w:r>
        <w:t xml:space="preserve">, от 12 декабря 2019 года </w:t>
      </w:r>
      <w:hyperlink r:id="rId23">
        <w:r>
          <w:rPr>
            <w:color w:val="0000FF"/>
          </w:rPr>
          <w:t>N 124-ОЗ</w:t>
        </w:r>
      </w:hyperlink>
      <w:r>
        <w:t xml:space="preserve">, от 19 ноября 2020 года </w:t>
      </w:r>
      <w:hyperlink r:id="rId24">
        <w:r>
          <w:rPr>
            <w:color w:val="0000FF"/>
          </w:rPr>
          <w:t>N 120-ОЗ</w:t>
        </w:r>
      </w:hyperlink>
      <w:r>
        <w:t xml:space="preserve"> и от 2 августа 2023 года </w:t>
      </w:r>
      <w:hyperlink r:id="rId25">
        <w:r>
          <w:rPr>
            <w:color w:val="0000FF"/>
          </w:rPr>
          <w:t>N 72-ОЗ</w:t>
        </w:r>
      </w:hyperlink>
      <w:r>
        <w:t>.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ind w:firstLine="540"/>
        <w:jc w:val="both"/>
      </w:pPr>
      <w:bookmarkStart w:id="15" w:name="P140"/>
      <w:bookmarkEnd w:id="15"/>
      <w:r>
        <w:t xml:space="preserve">1. Настоящий Закон вступает в силу с 1 января 2024 года, за исключением </w:t>
      </w:r>
      <w:hyperlink w:anchor="P122">
        <w:r>
          <w:rPr>
            <w:color w:val="0000FF"/>
          </w:rPr>
          <w:t>статьи 7</w:t>
        </w:r>
      </w:hyperlink>
      <w:r>
        <w:t>, вступающей в силу с 1 января 2025 года.</w:t>
      </w:r>
    </w:p>
    <w:p w:rsidR="007256B0" w:rsidRDefault="007256B0">
      <w:pPr>
        <w:pStyle w:val="ConsPlusNormal"/>
        <w:spacing w:before="220"/>
        <w:ind w:firstLine="540"/>
        <w:jc w:val="both"/>
      </w:pPr>
      <w:r>
        <w:t xml:space="preserve">2. Положения настоящего Закона в соответствии с Налоговым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 применяются по 31 декабря 2027 года включительно с учетом особенностей, установленных в </w:t>
      </w:r>
      <w:hyperlink w:anchor="P142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7256B0" w:rsidRDefault="007256B0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 xml:space="preserve">3. Положения, предусмотренные в </w:t>
      </w:r>
      <w:hyperlink w:anchor="P31">
        <w:r>
          <w:rPr>
            <w:color w:val="0000FF"/>
          </w:rPr>
          <w:t>подпунктах 4</w:t>
        </w:r>
      </w:hyperlink>
      <w:r>
        <w:t xml:space="preserve"> и </w:t>
      </w:r>
      <w:hyperlink w:anchor="P33">
        <w:r>
          <w:rPr>
            <w:color w:val="0000FF"/>
          </w:rPr>
          <w:t>5 пункта 2 статьи 2</w:t>
        </w:r>
      </w:hyperlink>
      <w:r>
        <w:t xml:space="preserve"> настоящего Закона, не применяются с 1 января 2025 года.</w:t>
      </w:r>
    </w:p>
    <w:p w:rsidR="007256B0" w:rsidRDefault="007256B0">
      <w:pPr>
        <w:pStyle w:val="ConsPlusNormal"/>
        <w:spacing w:before="220"/>
        <w:ind w:firstLine="540"/>
        <w:jc w:val="both"/>
      </w:pPr>
      <w:bookmarkStart w:id="17" w:name="P143"/>
      <w:bookmarkEnd w:id="17"/>
      <w:r>
        <w:t xml:space="preserve">Положения, предусмотренные в </w:t>
      </w:r>
      <w:hyperlink w:anchor="P90">
        <w:r>
          <w:rPr>
            <w:color w:val="0000FF"/>
          </w:rPr>
          <w:t>статье 5</w:t>
        </w:r>
      </w:hyperlink>
      <w:r>
        <w:t xml:space="preserve"> настоящего Закона, распространяются на отношения по взиманию налога на прибыль организаций за 2024 - 2026 годы.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jc w:val="right"/>
      </w:pPr>
      <w:r>
        <w:t>Губернатор</w:t>
      </w:r>
    </w:p>
    <w:p w:rsidR="007256B0" w:rsidRDefault="007256B0">
      <w:pPr>
        <w:pStyle w:val="ConsPlusNormal"/>
        <w:jc w:val="right"/>
      </w:pPr>
      <w:r>
        <w:t>Свердловской области</w:t>
      </w:r>
    </w:p>
    <w:p w:rsidR="007256B0" w:rsidRDefault="007256B0">
      <w:pPr>
        <w:pStyle w:val="ConsPlusNormal"/>
        <w:jc w:val="right"/>
      </w:pPr>
      <w:r>
        <w:t>Е.В.КУЙВАШЕВ</w:t>
      </w:r>
    </w:p>
    <w:p w:rsidR="007256B0" w:rsidRDefault="007256B0">
      <w:pPr>
        <w:pStyle w:val="ConsPlusNormal"/>
      </w:pPr>
      <w:r>
        <w:t>г. Екатеринбург</w:t>
      </w:r>
    </w:p>
    <w:p w:rsidR="007256B0" w:rsidRDefault="007256B0">
      <w:pPr>
        <w:pStyle w:val="ConsPlusNormal"/>
        <w:spacing w:before="220"/>
      </w:pPr>
      <w:r>
        <w:t>1 ноября 2023 года</w:t>
      </w:r>
    </w:p>
    <w:p w:rsidR="007256B0" w:rsidRDefault="007256B0">
      <w:pPr>
        <w:pStyle w:val="ConsPlusNormal"/>
        <w:spacing w:before="220"/>
      </w:pPr>
      <w:r>
        <w:t>N 91-ОЗ</w:t>
      </w: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jc w:val="both"/>
      </w:pPr>
    </w:p>
    <w:p w:rsidR="007256B0" w:rsidRDefault="007256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4A0A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0"/>
    <w:rsid w:val="00001F56"/>
    <w:rsid w:val="00063ADE"/>
    <w:rsid w:val="00071678"/>
    <w:rsid w:val="001A5777"/>
    <w:rsid w:val="00222515"/>
    <w:rsid w:val="002225F2"/>
    <w:rsid w:val="00234412"/>
    <w:rsid w:val="00237AF5"/>
    <w:rsid w:val="002F50AA"/>
    <w:rsid w:val="007256B0"/>
    <w:rsid w:val="00B74B8C"/>
    <w:rsid w:val="00B95190"/>
    <w:rsid w:val="00E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1137-8D07-4176-ADD4-0075FBD8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063ADE"/>
    <w:pPr>
      <w:numPr>
        <w:ilvl w:val="1"/>
      </w:numPr>
      <w:spacing w:after="120" w:line="240" w:lineRule="auto"/>
      <w:jc w:val="left"/>
    </w:pPr>
    <w:rPr>
      <w:rFonts w:ascii="Times New Roman" w:eastAsiaTheme="minorEastAsia" w:hAnsi="Times New Roman"/>
      <w:b/>
      <w:color w:val="5A5A5A" w:themeColor="text1" w:themeTint="A5"/>
      <w:spacing w:val="15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063ADE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paragraph" w:customStyle="1" w:styleId="ConsPlusNormal">
    <w:name w:val="ConsPlusNormal"/>
    <w:rsid w:val="007256B0"/>
    <w:pPr>
      <w:widowControl w:val="0"/>
      <w:autoSpaceDE w:val="0"/>
      <w:autoSpaceDN w:val="0"/>
      <w:jc w:val="left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7256B0"/>
    <w:pPr>
      <w:widowControl w:val="0"/>
      <w:autoSpaceDE w:val="0"/>
      <w:autoSpaceDN w:val="0"/>
      <w:jc w:val="left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7256B0"/>
    <w:pPr>
      <w:widowControl w:val="0"/>
      <w:autoSpaceDE w:val="0"/>
      <w:autoSpaceDN w:val="0"/>
      <w:jc w:val="left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71&amp;n=354845" TargetMode="External"/><Relationship Id="rId18" Type="http://schemas.openxmlformats.org/officeDocument/2006/relationships/hyperlink" Target="https://login.consultant.ru/link/?req=doc&amp;base=LAW&amp;n=458516&amp;dst=100019" TargetMode="External"/><Relationship Id="rId26" Type="http://schemas.openxmlformats.org/officeDocument/2006/relationships/hyperlink" Target="https://login.consultant.ru/link/?req=doc&amp;base=LAW&amp;n=4534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1&amp;n=356974" TargetMode="External"/><Relationship Id="rId7" Type="http://schemas.openxmlformats.org/officeDocument/2006/relationships/hyperlink" Target="https://login.consultant.ru/link/?req=doc&amp;base=RLAW071&amp;n=363088&amp;dst=100111" TargetMode="External"/><Relationship Id="rId12" Type="http://schemas.openxmlformats.org/officeDocument/2006/relationships/hyperlink" Target="https://login.consultant.ru/link/?req=doc&amp;base=LAW&amp;n=453492" TargetMode="External"/><Relationship Id="rId17" Type="http://schemas.openxmlformats.org/officeDocument/2006/relationships/hyperlink" Target="https://login.consultant.ru/link/?req=doc&amp;base=RLAW071&amp;n=320211" TargetMode="External"/><Relationship Id="rId25" Type="http://schemas.openxmlformats.org/officeDocument/2006/relationships/hyperlink" Target="https://login.consultant.ru/link/?req=doc&amp;base=RLAW071&amp;n=3569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320211" TargetMode="External"/><Relationship Id="rId20" Type="http://schemas.openxmlformats.org/officeDocument/2006/relationships/hyperlink" Target="https://login.consultant.ru/link/?req=doc&amp;base=RLAW071&amp;n=35006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63088&amp;dst=100110" TargetMode="External"/><Relationship Id="rId11" Type="http://schemas.openxmlformats.org/officeDocument/2006/relationships/hyperlink" Target="https://login.consultant.ru/link/?req=doc&amp;base=LAW&amp;n=453492" TargetMode="External"/><Relationship Id="rId24" Type="http://schemas.openxmlformats.org/officeDocument/2006/relationships/hyperlink" Target="https://login.consultant.ru/link/?req=doc&amp;base=RLAW071&amp;n=363110&amp;dst=100008" TargetMode="External"/><Relationship Id="rId5" Type="http://schemas.openxmlformats.org/officeDocument/2006/relationships/hyperlink" Target="https://login.consultant.ru/link/?req=doc&amp;base=RLAW071&amp;n=363088&amp;dst=100096" TargetMode="External"/><Relationship Id="rId15" Type="http://schemas.openxmlformats.org/officeDocument/2006/relationships/hyperlink" Target="https://login.consultant.ru/link/?req=doc&amp;base=RLAW071&amp;n=350064" TargetMode="External"/><Relationship Id="rId23" Type="http://schemas.openxmlformats.org/officeDocument/2006/relationships/hyperlink" Target="https://login.consultant.ru/link/?req=doc&amp;base=RLAW071&amp;n=2661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492" TargetMode="External"/><Relationship Id="rId19" Type="http://schemas.openxmlformats.org/officeDocument/2006/relationships/hyperlink" Target="https://login.consultant.ru/link/?req=doc&amp;base=RLAW071&amp;n=350064" TargetMode="External"/><Relationship Id="rId4" Type="http://schemas.openxmlformats.org/officeDocument/2006/relationships/hyperlink" Target="https://login.consultant.ru/link/?req=doc&amp;base=RLAW071&amp;n=363088&amp;dst=100109" TargetMode="External"/><Relationship Id="rId9" Type="http://schemas.openxmlformats.org/officeDocument/2006/relationships/hyperlink" Target="https://login.consultant.ru/link/?req=doc&amp;base=LAW&amp;n=454298&amp;dst=17736" TargetMode="External"/><Relationship Id="rId14" Type="http://schemas.openxmlformats.org/officeDocument/2006/relationships/hyperlink" Target="https://login.consultant.ru/link/?req=doc&amp;base=RLAW071&amp;n=350064" TargetMode="External"/><Relationship Id="rId22" Type="http://schemas.openxmlformats.org/officeDocument/2006/relationships/hyperlink" Target="https://login.consultant.ru/link/?req=doc&amp;base=RLAW071&amp;n=2662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Татьяна Владимировна</dc:creator>
  <cp:keywords/>
  <dc:description/>
  <cp:lastModifiedBy>Ушкова Татьяна Владимировна</cp:lastModifiedBy>
  <cp:revision>1</cp:revision>
  <dcterms:created xsi:type="dcterms:W3CDTF">2023-11-13T11:37:00Z</dcterms:created>
  <dcterms:modified xsi:type="dcterms:W3CDTF">2023-11-13T11:37:00Z</dcterms:modified>
</cp:coreProperties>
</file>