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7" w:rsidRDefault="00087E1D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D44937" w:rsidRDefault="00D4493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44937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37" w:rsidRDefault="00087E1D">
            <w:pPr>
              <w:pStyle w:val="ConsPlusNormal"/>
            </w:pPr>
            <w:r>
              <w:t>21 декабря 2021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37" w:rsidRDefault="00087E1D">
            <w:pPr>
              <w:pStyle w:val="ConsPlusNormal"/>
              <w:jc w:val="right"/>
            </w:pPr>
            <w:r>
              <w:t>N 753-УГ</w:t>
            </w:r>
          </w:p>
        </w:tc>
      </w:tr>
    </w:tbl>
    <w:p w:rsidR="00D44937" w:rsidRDefault="00D4493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44937" w:rsidRDefault="00D44937">
      <w:pPr>
        <w:pStyle w:val="ConsPlusNormal"/>
      </w:pP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D44937" w:rsidRDefault="00D44937">
      <w:pPr>
        <w:pStyle w:val="ConsPlusNormal"/>
        <w:jc w:val="center"/>
        <w:rPr>
          <w:b/>
          <w:bCs/>
        </w:rPr>
      </w:pP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D44937" w:rsidRDefault="00D44937">
      <w:pPr>
        <w:pStyle w:val="ConsPlusNormal"/>
        <w:jc w:val="center"/>
        <w:rPr>
          <w:b/>
          <w:bCs/>
        </w:rPr>
      </w:pP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УКАЗ</w:t>
      </w:r>
      <w:r>
        <w:rPr>
          <w:b/>
          <w:bCs/>
        </w:rPr>
        <w:t xml:space="preserve"> ГУБЕРНАТОРА</w:t>
      </w: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ОТ 18.03.2020 N 100-УГ</w:t>
      </w: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"О ВВЕДЕНИИ НА ТЕРРИТОРИИ СВЕРДЛОВСКОЙ ОБЛАСТИ</w:t>
      </w: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РЕЖИМА ПОВЫШЕННОЙ ГОТОВНОСТИ И ПРИНЯТИИ</w:t>
      </w: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МЕР ПО ЗАЩИТЕ НАСЕЛЕНИЯ</w:t>
      </w:r>
    </w:p>
    <w:p w:rsidR="00D44937" w:rsidRDefault="00087E1D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 (2019-NCOV)"</w:t>
      </w:r>
    </w:p>
    <w:p w:rsidR="00D44937" w:rsidRDefault="00D44937">
      <w:pPr>
        <w:pStyle w:val="ConsPlusNormal"/>
      </w:pPr>
    </w:p>
    <w:p w:rsidR="00D44937" w:rsidRDefault="00087E1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D44937" w:rsidRDefault="00087E1D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</w:t>
      </w:r>
      <w:r>
        <w:t>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</w:t>
      </w:r>
      <w:r>
        <w:t>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</w:t>
      </w:r>
      <w:r>
        <w:t xml:space="preserve">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</w:t>
      </w:r>
      <w:r>
        <w:t>.11.2020 N 607-УГ, от 20.11.2020 N 640-УГ, от 27.11.2020 N 648-УГ, от 07.12.2020 N 665-УГ, от 11.12.2020 N 689-УГ, от 18.12.2020 N 711-УГ, от 25.12.2020 N 739-УГ, от 18.01.2021 N 7-УГ, от 01.02.2021 N 39-УГ, от 04.02.2021 N 46-УГ, от 15.02.2021 N 64-УГ, от</w:t>
      </w:r>
      <w:r>
        <w:t xml:space="preserve"> 01.03.2021 N 116-УГ, от 15.03.2021 N 137-УГ, от 25.03.2021 N 176-УГ, от 13.10.2021 N 598-УГ, от 22.10.2021 N 613-УГ, от 27.10.2021 N 616-УГ, от 02.11.2021 N 624-УГ, от 10.11.2021 N 626-УГ, от 24.11.2021 N 670-УГ и от 10.12.2021 N 717-УГ, следующие изменен</w:t>
      </w:r>
      <w:r>
        <w:t>ия:</w:t>
      </w:r>
    </w:p>
    <w:p w:rsidR="00D44937" w:rsidRDefault="00087E1D">
      <w:pPr>
        <w:pStyle w:val="ConsPlusNormal"/>
        <w:spacing w:before="24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</w:t>
        </w:r>
      </w:hyperlink>
      <w:r>
        <w:t xml:space="preserve"> после части пятой дополнить частью следующего содержания:</w:t>
      </w:r>
    </w:p>
    <w:p w:rsidR="00D44937" w:rsidRDefault="00087E1D">
      <w:pPr>
        <w:pStyle w:val="ConsPlusNormal"/>
        <w:spacing w:before="240"/>
        <w:ind w:firstLine="540"/>
        <w:jc w:val="both"/>
      </w:pPr>
      <w:r>
        <w:t>"Установить</w:t>
      </w:r>
      <w:r>
        <w:t>, что с 22 декабря 2021 года по 20 января 2022 года наличие QR-кода или медицинских документов, указанных в части первой настоящего пункта, не требуется при посещении торговых, торгово-развлекательных центров и комплексов, а также расположенных в них объек</w:t>
      </w:r>
      <w:r>
        <w:t>тов и организаций, за исключением кинотеатров (кинозалов).";</w:t>
      </w:r>
    </w:p>
    <w:p w:rsidR="00D44937" w:rsidRDefault="00087E1D">
      <w:pPr>
        <w:pStyle w:val="ConsPlusNormal"/>
        <w:spacing w:before="24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3-1</w:t>
        </w:r>
      </w:hyperlink>
      <w:r>
        <w:t xml:space="preserve"> дополнить частью вто</w:t>
      </w:r>
      <w:r>
        <w:t>рой следующего содержания:</w:t>
      </w:r>
    </w:p>
    <w:p w:rsidR="00D44937" w:rsidRDefault="00087E1D">
      <w:pPr>
        <w:pStyle w:val="ConsPlusNormal"/>
        <w:spacing w:before="240"/>
        <w:ind w:firstLine="540"/>
        <w:jc w:val="both"/>
      </w:pPr>
      <w:r>
        <w:t xml:space="preserve">"Установить, что с 22 декабря 2021 года по 20 января 2022 года оказание услуг </w:t>
      </w:r>
      <w:r>
        <w:lastRenderedPageBreak/>
        <w:t>общественного питания в период с 23 часов до 6 часов допускается с соблюдением требований, предусмотренных частями первой - третьей пункта 3 настоящего</w:t>
      </w:r>
      <w:r>
        <w:t xml:space="preserve"> Указа.".</w:t>
      </w:r>
    </w:p>
    <w:p w:rsidR="00D44937" w:rsidRDefault="00087E1D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D44937" w:rsidRDefault="00087E1D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D44937" w:rsidRDefault="00D44937">
      <w:pPr>
        <w:pStyle w:val="ConsPlusNormal"/>
      </w:pPr>
    </w:p>
    <w:p w:rsidR="00D44937" w:rsidRDefault="00087E1D">
      <w:pPr>
        <w:pStyle w:val="ConsPlusNormal"/>
        <w:jc w:val="right"/>
      </w:pPr>
      <w:r>
        <w:t>Губернатор</w:t>
      </w:r>
    </w:p>
    <w:p w:rsidR="00D44937" w:rsidRDefault="00087E1D">
      <w:pPr>
        <w:pStyle w:val="ConsPlusNormal"/>
        <w:jc w:val="right"/>
      </w:pPr>
      <w:r>
        <w:t>Свердловской обл</w:t>
      </w:r>
      <w:r>
        <w:t>асти</w:t>
      </w:r>
    </w:p>
    <w:p w:rsidR="00D44937" w:rsidRDefault="00087E1D">
      <w:pPr>
        <w:pStyle w:val="ConsPlusNormal"/>
        <w:jc w:val="right"/>
      </w:pPr>
      <w:r>
        <w:t>Е.В.КУЙВАШЕВ</w:t>
      </w:r>
    </w:p>
    <w:p w:rsidR="00D44937" w:rsidRDefault="00087E1D">
      <w:pPr>
        <w:pStyle w:val="ConsPlusNormal"/>
      </w:pPr>
      <w:r>
        <w:t>г. Екатеринбург</w:t>
      </w:r>
    </w:p>
    <w:p w:rsidR="00D44937" w:rsidRDefault="00087E1D">
      <w:pPr>
        <w:pStyle w:val="ConsPlusNormal"/>
        <w:spacing w:before="240"/>
      </w:pPr>
      <w:r>
        <w:t>21 декабря 2021 года</w:t>
      </w:r>
    </w:p>
    <w:p w:rsidR="00D44937" w:rsidRDefault="00087E1D">
      <w:pPr>
        <w:pStyle w:val="ConsPlusNormal"/>
        <w:spacing w:before="240"/>
      </w:pPr>
      <w:r>
        <w:t>N 753-УГ</w:t>
      </w:r>
    </w:p>
    <w:p w:rsidR="00D44937" w:rsidRDefault="00D44937">
      <w:pPr>
        <w:pStyle w:val="ConsPlusNormal"/>
      </w:pPr>
    </w:p>
    <w:p w:rsidR="00D44937" w:rsidRDefault="00D44937">
      <w:pPr>
        <w:pStyle w:val="ConsPlusNormal"/>
      </w:pPr>
    </w:p>
    <w:p w:rsidR="00D44937" w:rsidRDefault="00D4493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44937" w:rsidRDefault="00D44937">
      <w:pPr>
        <w:pStyle w:val="Standard"/>
      </w:pPr>
    </w:p>
    <w:sectPr w:rsidR="00D449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1D" w:rsidRDefault="00087E1D">
      <w:r>
        <w:separator/>
      </w:r>
    </w:p>
  </w:endnote>
  <w:endnote w:type="continuationSeparator" w:id="0">
    <w:p w:rsidR="00087E1D" w:rsidRDefault="000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1D" w:rsidRDefault="00087E1D">
      <w:r>
        <w:rPr>
          <w:color w:val="000000"/>
        </w:rPr>
        <w:separator/>
      </w:r>
    </w:p>
  </w:footnote>
  <w:footnote w:type="continuationSeparator" w:id="0">
    <w:p w:rsidR="00087E1D" w:rsidRDefault="0008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4937"/>
    <w:rsid w:val="00087E1D"/>
    <w:rsid w:val="002A2C2A"/>
    <w:rsid w:val="00D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D006-4E5F-401D-8915-C01B2BC7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76A4EF3839CF232BE6A8F05334D6F782DA68091560242964D454EE211A766BA201B02BBA5EB0045088C69EC3B79FF780DI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76A4EF3839CF232BE6A8F05334D6F782DA6809157024D954A454EE211A766BA201B02A9A5B30C470B9B6DE82E2FAE3E88757C0775422FB2EF86B009I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476A4EF3839CF232BE6A8F05334D6F782DA68091560242964D454EE211A766BA201B02A9A5B3094C5EC32CBB2879FD64DC7A60076B4102I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476A4EF3839CF232BE6A8F05334D6F782DA68091560242964D454EE211A766BA201B02A9A5B30C470A976EEA2E2FAE3E88757C0775422FB2EF86B009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2021-12-22T05:42:00Z</dcterms:created>
  <dcterms:modified xsi:type="dcterms:W3CDTF">2021-12-22T05:42:00Z</dcterms:modified>
</cp:coreProperties>
</file>