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D" w:rsidRDefault="000411D1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8C17BD" w:rsidRDefault="008C17BD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C17BD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7BD" w:rsidRDefault="000411D1">
            <w:pPr>
              <w:pStyle w:val="ConsPlusNormal"/>
            </w:pPr>
            <w:r>
              <w:t>10 марта 2022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7BD" w:rsidRDefault="000411D1">
            <w:pPr>
              <w:pStyle w:val="ConsPlusNormal"/>
              <w:jc w:val="right"/>
            </w:pPr>
            <w:r>
              <w:t>N 128-УГ</w:t>
            </w:r>
          </w:p>
        </w:tc>
      </w:tr>
    </w:tbl>
    <w:p w:rsidR="008C17BD" w:rsidRDefault="008C17BD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8C17BD" w:rsidRDefault="008C17BD">
      <w:pPr>
        <w:pStyle w:val="ConsPlusNormal"/>
      </w:pP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8C17BD" w:rsidRDefault="008C17BD">
      <w:pPr>
        <w:pStyle w:val="ConsPlusNormal"/>
        <w:jc w:val="center"/>
        <w:rPr>
          <w:b/>
          <w:bCs/>
        </w:rPr>
      </w:pP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8C17BD" w:rsidRDefault="008C17BD">
      <w:pPr>
        <w:pStyle w:val="ConsPlusNormal"/>
        <w:jc w:val="center"/>
        <w:rPr>
          <w:b/>
          <w:bCs/>
        </w:rPr>
      </w:pP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УКАЗ </w:t>
      </w:r>
      <w:r>
        <w:rPr>
          <w:b/>
          <w:bCs/>
        </w:rPr>
        <w:t>ГУБЕРНАТОРА СВЕРДЛОВСКОЙ ОБЛАСТИ</w:t>
      </w: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</w:t>
      </w: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>И ПРИНЯТИИ ДОПОЛНИТЕЛЬНЫХ МЕР ПО ЗАЩИТЕ НАСЕЛЕНИЯ</w:t>
      </w: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</w:t>
      </w:r>
    </w:p>
    <w:p w:rsidR="008C17BD" w:rsidRDefault="000411D1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(2019-NCOV)"</w:t>
      </w:r>
    </w:p>
    <w:p w:rsidR="008C17BD" w:rsidRDefault="008C17BD">
      <w:pPr>
        <w:pStyle w:val="ConsPlusNormal"/>
      </w:pPr>
    </w:p>
    <w:p w:rsidR="008C17BD" w:rsidRDefault="000411D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102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</w:t>
      </w:r>
      <w:r>
        <w:t>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</w:t>
      </w:r>
      <w:r>
        <w:t>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</w:t>
      </w:r>
      <w:r>
        <w:t xml:space="preserve">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</w:t>
      </w:r>
      <w:r>
        <w:t>.11.2020 N 607-УГ, от 20.11.2020 N 640-УГ, от 27.11.2020 N 648-УГ, от 07.12.2020 N 665-УГ, от 11.12.2020 N 689-УГ, от 18.12.2020 N 711-УГ, от 25.12.2020 N 739-УГ, от 18.01.2021 N 7-УГ, от 01.02.2021 N 39-УГ, от 04.02.2021 N 46-УГ, от 15.02.2021 N 64-УГ, от</w:t>
      </w:r>
      <w:r>
        <w:t xml:space="preserve"> 01.03.2021 N 116-УГ, от 15.03.2021 N 137-УГ, от 25.03.2021 N 176-УГ, от 13.10.2021 N 598-УГ, от 22.10.2021 N 613-УГ, от 27.10.2021 N 616-УГ, от 02.11.2021 N 624-УГ, от 10.11.2021 N 626-УГ, от 24.11.2021 N 670-УГ, от 10.12.2021 N 717-УГ, от 21.12.2021 N 75</w:t>
      </w:r>
      <w:r>
        <w:t>3-УГ, от 27.12.2021 N 769-УГ, от 13.01.2022 N 3-УГ, от 19.01.2022 N 18-УГ, от 27.01.2022 N 29-УГ, от 01.02.2022 N 37-УГ, от 11.02.2022 N 55-УГ, от 18.02.2022 N 60-УГ и от 26.02.2022 N 91-УГ, изменения, изложив его в следующей редакции:</w:t>
      </w:r>
    </w:p>
    <w:p w:rsidR="008C17BD" w:rsidRDefault="008C17BD">
      <w:pPr>
        <w:pStyle w:val="ConsPlusNormal"/>
      </w:pPr>
    </w:p>
    <w:p w:rsidR="008C17BD" w:rsidRDefault="000411D1">
      <w:pPr>
        <w:pStyle w:val="ConsPlusNormal"/>
        <w:jc w:val="center"/>
      </w:pPr>
      <w:r>
        <w:t>"О введении на терр</w:t>
      </w:r>
      <w:r>
        <w:t>итории Свердловской области</w:t>
      </w:r>
    </w:p>
    <w:p w:rsidR="008C17BD" w:rsidRDefault="000411D1">
      <w:pPr>
        <w:pStyle w:val="ConsPlusNormal"/>
        <w:jc w:val="center"/>
      </w:pPr>
      <w:r>
        <w:t>режима повышенной готовности и принятии дополнительных мер</w:t>
      </w:r>
    </w:p>
    <w:p w:rsidR="008C17BD" w:rsidRDefault="000411D1">
      <w:pPr>
        <w:pStyle w:val="ConsPlusNormal"/>
        <w:jc w:val="center"/>
      </w:pPr>
      <w:r>
        <w:t>по защите населения от новой коронавирусной инфекции</w:t>
      </w:r>
    </w:p>
    <w:p w:rsidR="008C17BD" w:rsidRDefault="000411D1">
      <w:pPr>
        <w:pStyle w:val="ConsPlusNormal"/>
        <w:jc w:val="center"/>
      </w:pPr>
      <w:r>
        <w:t>(2019-nCoV)</w:t>
      </w:r>
    </w:p>
    <w:p w:rsidR="008C17BD" w:rsidRDefault="008C17BD">
      <w:pPr>
        <w:pStyle w:val="ConsPlusNormal"/>
      </w:pPr>
    </w:p>
    <w:p w:rsidR="008C17BD" w:rsidRDefault="000411D1">
      <w:pPr>
        <w:pStyle w:val="ConsPlusNormal"/>
        <w:ind w:firstLine="540"/>
        <w:jc w:val="both"/>
      </w:pPr>
      <w:r>
        <w:t>В связи с угрозой распространения на территории Свердловской области новой коронавирусной инфекции (201</w:t>
      </w:r>
      <w:r>
        <w:t xml:space="preserve">9-nCoV), в соответствии с </w:t>
      </w:r>
      <w:hyperlink r:id="rId9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</w:t>
      </w:r>
      <w:r>
        <w:t xml:space="preserve">4 года N 68-ФЗ "О защите населения </w:t>
      </w:r>
      <w:r>
        <w:lastRenderedPageBreak/>
        <w:t xml:space="preserve">и территорий от чрезвычайных ситуаций природного и техногенного характера", </w:t>
      </w:r>
      <w:hyperlink r:id="rId10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11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</w:t>
      </w:r>
      <w:r>
        <w:t xml:space="preserve">тарно-эпидемиологическом благополучии населения", </w:t>
      </w:r>
      <w:hyperlink r:id="rId12" w:history="1">
        <w:r>
          <w:rPr>
            <w:color w:val="0000FF"/>
          </w:rPr>
          <w:t>пунктами 3-1</w:t>
        </w:r>
      </w:hyperlink>
      <w:r>
        <w:t xml:space="preserve"> и </w:t>
      </w:r>
      <w:hyperlink r:id="rId13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</w:t>
      </w:r>
      <w:r>
        <w:t>ных ситуаций природного и техногенного характера в Свердловской области" постановляю: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</w:t>
      </w:r>
      <w:r>
        <w:t>дупреждения и ликвидации чрезвычайных ситуаций.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2. 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</w:t>
      </w:r>
      <w:r>
        <w:t>рно-гигиенические маски, респираторы).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</w:t>
      </w:r>
      <w:r>
        <w:t>ся.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Под местом массового пребывания людей в настоящем Указе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</w:t>
      </w:r>
      <w:r>
        <w:t>ом объекте, на которых при определенных условиях может одновременно находиться более 50 человек.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</w:t>
      </w:r>
      <w:r>
        <w:t>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3. Рекомендовать жителям Свердловской области в возра</w:t>
      </w:r>
      <w:r>
        <w:t>сте 60 лет и старше, а также жителям Свердловской области, имеющим хронические заболевания (в первую очередь сердечно-сосудистые заболевания, болезни органов дыхания, диабет), обеспечить самоизоляцию на дому, за исключением руководителей и сотрудников госу</w:t>
      </w:r>
      <w:r>
        <w:t>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области, чье нахождение на рабочем ме</w:t>
      </w:r>
      <w:r>
        <w:t>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</w:t>
      </w:r>
      <w:r>
        <w:t>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</w:t>
      </w:r>
      <w:r>
        <w:t>oV).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</w:t>
      </w:r>
      <w:r>
        <w:t xml:space="preserve"> юридического лица.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lastRenderedPageBreak/>
        <w:t>4. Обязать работодателей, осуществляющих деятельность на территории Свердловской области: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</w:t>
      </w:r>
      <w:r>
        <w:t>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</w:t>
      </w:r>
      <w:r>
        <w:t>учия населения, в том числе в части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</w:t>
      </w:r>
      <w:r>
        <w:t>нением от нахождения на рабочем месте лиц с повышенной температурой тела, признаками острой респираторной вирусной инфекции;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4) обеспечить использование работниками ин</w:t>
      </w:r>
      <w:r>
        <w:t>дивидуальных средств защиты дыхательных путей;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5)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</w:t>
      </w:r>
      <w:r>
        <w:t>ите от распространения новой коронавирусной инфекции (2019-nCoV).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освобождать от работы в течение двух дней с сохранением заработной платы работников при проведени</w:t>
      </w:r>
      <w:r>
        <w:t>и профилактической прививки против новой коронавирусной инфекции (2019-nCoV).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 xml:space="preserve">5.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отрасли, о </w:t>
      </w:r>
      <w:r>
        <w:t>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коронавирусной инфекции (2019-nCoV), и контроль за их выполнени</w:t>
      </w:r>
      <w:r>
        <w:t>ем.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6.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 на базе го</w:t>
      </w:r>
      <w:r>
        <w:t>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7. Министерству здравоохранения Свердловской области: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1) принять меры по обеспечению аппаратами иск</w:t>
      </w:r>
      <w:r>
        <w:t>усственной вентиляции легких медицинских организаций, осуществляющих деятельность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</w:t>
      </w:r>
      <w:r>
        <w:t>ентиляции легких за счет средств резервного фонда Правительства Свердловской области;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lastRenderedPageBreak/>
        <w:t>2) обеспечить возможность оформления листков нетрудоспособности без посещения медицинских организаций для граждан, у которых по результатам лабораторных исследований подт</w:t>
      </w:r>
      <w:r>
        <w:t>верждено наличие новой коронавирусной инфекции (2019-nCoV);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3) организовать работу медицинских организаций с приоритетом оказания медицинской помощи на дому лихорадящим больным с респираторными симптомами и пациентам старше 60 лет, для чего обеспечить усил</w:t>
      </w:r>
      <w:r>
        <w:t>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</w:t>
      </w:r>
      <w:r>
        <w:t>кий университет" Министерства здравоохранения Российской Федерации;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</w:t>
      </w:r>
      <w:r>
        <w:t>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потребителей и благоп</w:t>
      </w:r>
      <w:r>
        <w:t>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6) организовать по назначению</w:t>
      </w:r>
      <w:r>
        <w:t xml:space="preserve">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(2019-nCoV), гражданам с подозрением на наличие новой кор</w:t>
      </w:r>
      <w:r>
        <w:t>онавирусной инфекции (2019-nCoV), а также гражданам, привлеченным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 препаратов в соответствии со схемами ле</w:t>
      </w:r>
      <w:r>
        <w:t>чения, утвержденными Министерством здравоохранения Свердловской области.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8. Министерству образования и молодежной политики Свердловской области организовать при необходимости в общеобразовательных организациях, организациях дополнительного образования, про</w:t>
      </w:r>
      <w:r>
        <w:t>фессиональных 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</w:t>
      </w:r>
      <w:r>
        <w:t>лектронного обучения в соответствии с графиками учебного процесса и индивидуальными учебными планами обучающихся.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9. Рекомендовать Главному управлению Министерства внутренних дел Российской Федерации по Свердловской области организовать контроль за исполне</w:t>
      </w:r>
      <w:r>
        <w:t>нием настоящего Указа в муниципальных образованиях, расположенных на территории Свердловской области.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10. Органам местного самоуправления муниципальных образований, расположенных на территории Свердловской области: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1) обеспечить проведение противоэпидемиче</w:t>
      </w:r>
      <w:r>
        <w:t xml:space="preserve">ских мероприятий в объеме, </w:t>
      </w:r>
      <w:r>
        <w:lastRenderedPageBreak/>
        <w:t>предусмотренном настоящим Указом;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настоящим Указом.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11. Заместителю Губернатора Свердловской области П.В. Крекову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12. Контро</w:t>
      </w:r>
      <w:r>
        <w:t>ль за исполнением настоящего Указа оставляю за собой.".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8C17BD" w:rsidRDefault="000411D1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</w:t>
      </w:r>
      <w:r>
        <w:t>.pravo.gov66.ru).</w:t>
      </w:r>
    </w:p>
    <w:p w:rsidR="008C17BD" w:rsidRDefault="008C17BD">
      <w:pPr>
        <w:pStyle w:val="ConsPlusNormal"/>
      </w:pPr>
    </w:p>
    <w:p w:rsidR="008C17BD" w:rsidRDefault="000411D1">
      <w:pPr>
        <w:pStyle w:val="ConsPlusNormal"/>
        <w:jc w:val="right"/>
      </w:pPr>
      <w:r>
        <w:t>Губернатор</w:t>
      </w:r>
    </w:p>
    <w:p w:rsidR="008C17BD" w:rsidRDefault="000411D1">
      <w:pPr>
        <w:pStyle w:val="ConsPlusNormal"/>
        <w:jc w:val="right"/>
      </w:pPr>
      <w:r>
        <w:t>Свердловской области</w:t>
      </w:r>
    </w:p>
    <w:p w:rsidR="008C17BD" w:rsidRDefault="000411D1">
      <w:pPr>
        <w:pStyle w:val="ConsPlusNormal"/>
        <w:jc w:val="right"/>
      </w:pPr>
      <w:r>
        <w:t>Е.В.КУЙВАШЕВ</w:t>
      </w:r>
    </w:p>
    <w:p w:rsidR="008C17BD" w:rsidRDefault="000411D1">
      <w:pPr>
        <w:pStyle w:val="ConsPlusNormal"/>
      </w:pPr>
      <w:r>
        <w:t>г. Екатеринбург</w:t>
      </w:r>
    </w:p>
    <w:p w:rsidR="008C17BD" w:rsidRDefault="000411D1">
      <w:pPr>
        <w:pStyle w:val="ConsPlusNormal"/>
        <w:spacing w:before="240"/>
      </w:pPr>
      <w:r>
        <w:t>10 марта 2022 года</w:t>
      </w:r>
    </w:p>
    <w:p w:rsidR="008C17BD" w:rsidRDefault="000411D1">
      <w:pPr>
        <w:pStyle w:val="ConsPlusNormal"/>
        <w:spacing w:before="240"/>
      </w:pPr>
      <w:r>
        <w:t>N 128-УГ</w:t>
      </w:r>
    </w:p>
    <w:p w:rsidR="008C17BD" w:rsidRDefault="008C17BD">
      <w:pPr>
        <w:pStyle w:val="ConsPlusNormal"/>
      </w:pPr>
    </w:p>
    <w:p w:rsidR="008C17BD" w:rsidRDefault="008C17BD">
      <w:pPr>
        <w:pStyle w:val="ConsPlusNormal"/>
      </w:pPr>
    </w:p>
    <w:p w:rsidR="008C17BD" w:rsidRDefault="008C17BD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8C17BD" w:rsidRDefault="008C17BD">
      <w:pPr>
        <w:pStyle w:val="Standard"/>
      </w:pPr>
    </w:p>
    <w:sectPr w:rsidR="008C17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D1" w:rsidRDefault="000411D1">
      <w:r>
        <w:separator/>
      </w:r>
    </w:p>
  </w:endnote>
  <w:endnote w:type="continuationSeparator" w:id="0">
    <w:p w:rsidR="000411D1" w:rsidRDefault="000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D1" w:rsidRDefault="000411D1">
      <w:r>
        <w:rPr>
          <w:color w:val="000000"/>
        </w:rPr>
        <w:separator/>
      </w:r>
    </w:p>
  </w:footnote>
  <w:footnote w:type="continuationSeparator" w:id="0">
    <w:p w:rsidR="000411D1" w:rsidRDefault="0004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17BD"/>
    <w:rsid w:val="000411D1"/>
    <w:rsid w:val="00232E1C"/>
    <w:rsid w:val="008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9A17-CFE8-477A-A687-1F742E2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E7DF0069CB60F50BEA7C7B057DF820C809DE31F4B1052E1F79046AA90B185BD21B174271B9431171F15D2C824407724c0n2N" TargetMode="External"/><Relationship Id="rId13" Type="http://schemas.openxmlformats.org/officeDocument/2006/relationships/hyperlink" Target="consultantplus://offline/ref=0F4E7DF0069CB60F50BEA7C7B057DF820C809DE31F481554E1F19046AA90B185BD21B174351BCC3F12145F838F6F4F76261ED426797A19A1c3n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E7DF0069CB60F50BEA7C7B057DF820C809DE31F4B1056E0F19046AA90B185BD21B174351BCC3D161E02D7C33116266255D924676619A021FDE055cEn0N" TargetMode="External"/><Relationship Id="rId12" Type="http://schemas.openxmlformats.org/officeDocument/2006/relationships/hyperlink" Target="consultantplus://offline/ref=0F4E7DF0069CB60F50BEA7C7B057DF820C809DE31F481554E1F19046AA90B185BD21B174351BCC3F14145F838F6F4F76261ED426797A19A1c3n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0F4E7DF0069CB60F50BEB9CAA63B81880E82C3EC14491807BDA09611F5C0B7D0FD61B721765FC0341F145F838F6F4F76261ED426797A19A1c3nD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4E7DF0069CB60F50BEB9CAA63B81880E82C3EC14491807BDA09611F5C0B7D0FD61B721765FC53F11145F838F6F4F76261ED426797A19A1c3n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4E7DF0069CB60F50BEB9CAA63B8188098BC6E818491807BDA09611F5C0B7D0FD61B7217456CA68475B5EDFCA3A5C77251ED62565c7n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2022-03-11T04:20:00Z</dcterms:created>
  <dcterms:modified xsi:type="dcterms:W3CDTF">2022-03-11T04:20:00Z</dcterms:modified>
</cp:coreProperties>
</file>