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7A" w:rsidRDefault="008C087A" w:rsidP="008C087A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b/>
          <w:bCs/>
          <w:sz w:val="20"/>
          <w:szCs w:val="20"/>
          <w:lang w:eastAsia="ru-RU"/>
        </w:rPr>
        <w:t>Источник публикации</w:t>
      </w:r>
    </w:p>
    <w:p w:rsidR="008C087A" w:rsidRDefault="008C087A" w:rsidP="008C08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  <w:lang w:eastAsia="ru-RU"/>
        </w:rPr>
        <w:t>"Областная газета", N 216, 23.11.2019,</w:t>
      </w:r>
    </w:p>
    <w:p w:rsidR="008C087A" w:rsidRDefault="008C087A" w:rsidP="008C08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  <w:lang w:eastAsia="ru-RU"/>
        </w:rPr>
        <w:t>Официальный интернет-портал правовой информации Свердловской области http://www.pravo.gov66.ru, 23.11.2019,</w:t>
      </w:r>
    </w:p>
    <w:p w:rsidR="008C087A" w:rsidRDefault="008C087A" w:rsidP="008C08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  <w:lang w:eastAsia="ru-RU"/>
        </w:rPr>
        <w:t>Официальный интернет-портал правовой информации http://www.pravo.gov.ru, 25.11.2019</w:t>
      </w:r>
    </w:p>
    <w:p w:rsidR="008C087A" w:rsidRDefault="008C087A" w:rsidP="008C087A">
      <w:pPr>
        <w:autoSpaceDE w:val="0"/>
        <w:autoSpaceDN w:val="0"/>
        <w:adjustRightInd w:val="0"/>
        <w:spacing w:before="200" w:after="0" w:line="240" w:lineRule="auto"/>
        <w:jc w:val="left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b/>
          <w:bCs/>
          <w:sz w:val="20"/>
          <w:szCs w:val="20"/>
          <w:lang w:eastAsia="ru-RU"/>
        </w:rPr>
        <w:t>Примечание к документу</w:t>
      </w:r>
    </w:p>
    <w:p w:rsidR="008C087A" w:rsidRDefault="008C087A" w:rsidP="008C08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  <w:lang w:eastAsia="ru-RU"/>
        </w:rPr>
        <w:t xml:space="preserve">В соответствии со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  <w:lang w:eastAsia="ru-RU"/>
          </w:rPr>
          <w:t>статьей 2</w:t>
        </w:r>
      </w:hyperlink>
      <w:r>
        <w:rPr>
          <w:rFonts w:ascii="Tahoma" w:hAnsi="Tahoma" w:cs="Tahoma"/>
          <w:sz w:val="20"/>
          <w:szCs w:val="20"/>
          <w:lang w:eastAsia="ru-RU"/>
        </w:rPr>
        <w:t xml:space="preserve"> данный документ вступает в силу с 1 января 2020 года.</w:t>
      </w:r>
    </w:p>
    <w:p w:rsidR="008C087A" w:rsidRDefault="008C087A">
      <w:pPr>
        <w:pStyle w:val="ConsPlusTitlePage"/>
      </w:pPr>
    </w:p>
    <w:p w:rsidR="008C087A" w:rsidRDefault="008C087A">
      <w:pPr>
        <w:pStyle w:val="ConsPlusTitlePage"/>
      </w:pPr>
    </w:p>
    <w:p w:rsidR="008C087A" w:rsidRDefault="008C08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087A" w:rsidRDefault="008C087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C08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87A" w:rsidRDefault="008C087A">
            <w:pPr>
              <w:pStyle w:val="ConsPlusNormal"/>
            </w:pPr>
            <w:r>
              <w:t>21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87A" w:rsidRDefault="008C087A">
            <w:pPr>
              <w:pStyle w:val="ConsPlusNormal"/>
              <w:jc w:val="right"/>
            </w:pPr>
            <w:r>
              <w:t>N 107-ОЗ</w:t>
            </w:r>
          </w:p>
        </w:tc>
      </w:tr>
    </w:tbl>
    <w:p w:rsidR="008C087A" w:rsidRDefault="008C0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87A" w:rsidRDefault="008C087A">
      <w:pPr>
        <w:pStyle w:val="ConsPlusNormal"/>
      </w:pPr>
    </w:p>
    <w:p w:rsidR="008C087A" w:rsidRDefault="008C087A">
      <w:pPr>
        <w:pStyle w:val="ConsPlusTitle"/>
        <w:jc w:val="center"/>
      </w:pPr>
      <w:r>
        <w:t>ЗАКОН</w:t>
      </w:r>
    </w:p>
    <w:p w:rsidR="008C087A" w:rsidRDefault="008C087A">
      <w:pPr>
        <w:pStyle w:val="ConsPlusTitle"/>
        <w:jc w:val="center"/>
      </w:pPr>
    </w:p>
    <w:p w:rsidR="008C087A" w:rsidRDefault="008C087A">
      <w:pPr>
        <w:pStyle w:val="ConsPlusTitle"/>
        <w:jc w:val="center"/>
      </w:pPr>
      <w:r>
        <w:t>СВЕРДЛОВСКОЙ ОБЛАСТИ</w:t>
      </w:r>
    </w:p>
    <w:p w:rsidR="008C087A" w:rsidRDefault="008C087A">
      <w:pPr>
        <w:pStyle w:val="ConsPlusTitle"/>
        <w:jc w:val="center"/>
      </w:pPr>
    </w:p>
    <w:p w:rsidR="008C087A" w:rsidRDefault="008C087A">
      <w:pPr>
        <w:pStyle w:val="ConsPlusTitle"/>
        <w:jc w:val="center"/>
      </w:pPr>
      <w:r>
        <w:t>О ВНЕСЕНИИ ИЗМЕНЕНИЙ В ЗАКОН СВЕРДЛОВСКОЙ ОБЛАСТИ</w:t>
      </w:r>
    </w:p>
    <w:p w:rsidR="008C087A" w:rsidRDefault="008C087A">
      <w:pPr>
        <w:pStyle w:val="ConsPlusTitle"/>
        <w:jc w:val="center"/>
      </w:pPr>
      <w:r>
        <w:t>"О ВВЕДЕНИИ В ДЕЙСТВИЕ ПАТЕНТНОЙ СИСТЕМЫ НАЛОГООБЛОЖЕНИЯ</w:t>
      </w:r>
    </w:p>
    <w:p w:rsidR="008C087A" w:rsidRDefault="008C087A">
      <w:pPr>
        <w:pStyle w:val="ConsPlusTitle"/>
        <w:jc w:val="center"/>
      </w:pPr>
      <w:r>
        <w:t>НА ТЕРРИТОРИИ СВЕРДЛОВСКОЙ ОБЛАСТИ И УСТАНОВЛЕНИИ</w:t>
      </w:r>
    </w:p>
    <w:p w:rsidR="008C087A" w:rsidRDefault="008C087A">
      <w:pPr>
        <w:pStyle w:val="ConsPlusTitle"/>
        <w:jc w:val="center"/>
      </w:pPr>
      <w:r>
        <w:t>НАЛОГОВОЙ СТАВКИ ПРИ ЕЕ ПРИМЕНЕНИИ</w:t>
      </w:r>
    </w:p>
    <w:p w:rsidR="008C087A" w:rsidRDefault="008C087A">
      <w:pPr>
        <w:pStyle w:val="ConsPlusTitle"/>
        <w:jc w:val="center"/>
      </w:pPr>
      <w:r>
        <w:t>ДЛЯ ОТДЕЛЬНЫХ КАТЕГОРИЙ НАЛОГОПЛАТЕЛЬЩИКОВ"</w:t>
      </w:r>
    </w:p>
    <w:p w:rsidR="008C087A" w:rsidRDefault="008C087A">
      <w:pPr>
        <w:pStyle w:val="ConsPlusNormal"/>
      </w:pPr>
    </w:p>
    <w:p w:rsidR="008C087A" w:rsidRDefault="008C087A">
      <w:pPr>
        <w:pStyle w:val="ConsPlusNormal"/>
        <w:jc w:val="right"/>
      </w:pPr>
      <w:proofErr w:type="gramStart"/>
      <w:r>
        <w:t>Принят</w:t>
      </w:r>
      <w:proofErr w:type="gramEnd"/>
    </w:p>
    <w:p w:rsidR="008C087A" w:rsidRDefault="008C087A">
      <w:pPr>
        <w:pStyle w:val="ConsPlusNormal"/>
        <w:jc w:val="right"/>
      </w:pPr>
      <w:r>
        <w:t>Законодательным Собранием</w:t>
      </w:r>
    </w:p>
    <w:p w:rsidR="008C087A" w:rsidRDefault="008C087A">
      <w:pPr>
        <w:pStyle w:val="ConsPlusNormal"/>
        <w:jc w:val="right"/>
      </w:pPr>
      <w:r>
        <w:t>Свердловской области</w:t>
      </w:r>
    </w:p>
    <w:p w:rsidR="008C087A" w:rsidRDefault="008C087A">
      <w:pPr>
        <w:pStyle w:val="ConsPlusNormal"/>
        <w:jc w:val="right"/>
      </w:pPr>
      <w:r>
        <w:t>19 ноября 2019 года</w:t>
      </w:r>
    </w:p>
    <w:p w:rsidR="008C087A" w:rsidRDefault="008C087A">
      <w:pPr>
        <w:pStyle w:val="ConsPlusNormal"/>
      </w:pPr>
    </w:p>
    <w:p w:rsidR="008C087A" w:rsidRDefault="008C087A">
      <w:pPr>
        <w:pStyle w:val="ConsPlusTitle"/>
        <w:ind w:firstLine="540"/>
        <w:jc w:val="both"/>
        <w:outlineLvl w:val="0"/>
      </w:pPr>
      <w:r>
        <w:t>Статья 1</w:t>
      </w:r>
    </w:p>
    <w:p w:rsidR="008C087A" w:rsidRDefault="008C087A">
      <w:pPr>
        <w:pStyle w:val="ConsPlusNormal"/>
      </w:pPr>
    </w:p>
    <w:p w:rsidR="008C087A" w:rsidRDefault="008C087A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Свердловской области от 21 ноября 2012 года N 87-ОЗ "О введении в действие патентной системы налогообложения на территории Свердловской области и установлении налоговой ставки при ее применении для отдельных категорий налогоплательщиков" ("Областная газета", 2012, 23 ноября, N 511-513) с изменениями, внесенными Законами Свердловской области от 5 ноября 2014 года N 89-ОЗ, от 20 марта 2015 года N</w:t>
      </w:r>
      <w:proofErr w:type="gramEnd"/>
      <w:r>
        <w:t xml:space="preserve"> 22-ОЗ, от 28 октября 2015 года N 118-ОЗ, от 28 мая 2018 года N 47-ОЗ и от 28 февраля 2019 года N 9-ОЗ, следующие изменения: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наименовании статьи 2</w:t>
        </w:r>
      </w:hyperlink>
      <w:r>
        <w:t xml:space="preserve"> слово "Размер" заменить словами "Размер и максимальный размер";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2) в тексте </w:t>
      </w:r>
      <w:hyperlink r:id="rId8" w:history="1">
        <w:r>
          <w:rPr>
            <w:color w:val="0000FF"/>
          </w:rPr>
          <w:t>статьи 2</w:t>
        </w:r>
      </w:hyperlink>
      <w:r>
        <w:t xml:space="preserve"> слова "Установить размер" заменить словами "1. Установить размер";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2</w:t>
        </w:r>
      </w:hyperlink>
      <w:r>
        <w:t xml:space="preserve"> дополнить пунктами 2 и 3 следующего содержания: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"2. Увеличить указанный в Налоговом </w:t>
      </w:r>
      <w:hyperlink r:id="rId10" w:history="1">
        <w:r>
          <w:rPr>
            <w:color w:val="0000FF"/>
          </w:rPr>
          <w:t>кодексе</w:t>
        </w:r>
      </w:hyperlink>
      <w:r>
        <w:t xml:space="preserve"> Российской Федерации максимальный размер потенциально возможного к получению индивидуальным предпринимателем годового дохода на территории Свердловской области, за исключением территории городов с численностью населения более 1 миллиона человек: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1) в два раза - по видам деятельности, указанным в строках 9 и 40 таблицы приложения к настоящему Закону;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lastRenderedPageBreak/>
        <w:t>2) в три раза - по видам деятельности, указанным в строках 10, 11, 34 и 35 таблицы приложения к настоящему Закону;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3) в десять раз - по видам деятельности, указанным в строках 19, 20, 47 - 56 таблицы приложения к настоящему Закону.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Увеличить указанный в Налоговом </w:t>
      </w:r>
      <w:hyperlink r:id="rId11" w:history="1">
        <w:r>
          <w:rPr>
            <w:color w:val="0000FF"/>
          </w:rPr>
          <w:t>кодексе</w:t>
        </w:r>
      </w:hyperlink>
      <w:r>
        <w:t xml:space="preserve"> Российской Федерации максимальный размер потенциально возможного к получению индивидуальным предпринимателем годового дохода на территории городов с численностью населения более 1 миллиона человек: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1) в два раза - по видам деятельности, указанным в строках 1 - 8, 12 - 17, 21 - 32, 36 - 39, 42 - 46, 58 - 83 таблицы приложения к настоящему Закону;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2) в три раза - по виду деятельности, указанному в строке 9 таблицы приложения к настоящему Закону;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3) в четыре раза - по видам деятельности, указанным в строках 40 и 41 таблицы приложения к настоящему Закону;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4) в пять раз - по видам деятельности, указанным в строках 10, 11, 34 и 35 таблицы приложения к настоящему Закону;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>5) в десять раз - по видам деятельности, указанным в строках 19, 20, 47 - 56 таблицы приложения к настоящему Закону.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максимальный размер потенциально возможного к получению индивидуальным предпринимателем годового дохода подлежит индексации на коэффициент-дефлятор, установленный на соответствующий календарный год.";</w:t>
      </w:r>
      <w:proofErr w:type="gramEnd"/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подпункт 15 статьи 2-1</w:t>
        </w:r>
      </w:hyperlink>
      <w:r>
        <w:t xml:space="preserve"> после слова "деятельности" дополнить словами ",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законом";</w:t>
      </w:r>
    </w:p>
    <w:p w:rsidR="008C087A" w:rsidRDefault="008C087A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таблицу</w:t>
        </w:r>
      </w:hyperlink>
      <w:r>
        <w:t xml:space="preserve"> в приложении изложить в следующей редакции:</w:t>
      </w:r>
    </w:p>
    <w:p w:rsidR="008C087A" w:rsidRDefault="008C08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762"/>
        <w:gridCol w:w="1701"/>
        <w:gridCol w:w="1701"/>
      </w:tblGrid>
      <w:tr w:rsidR="008C087A">
        <w:tc>
          <w:tcPr>
            <w:tcW w:w="907" w:type="dxa"/>
            <w:vMerge w:val="restart"/>
          </w:tcPr>
          <w:p w:rsidR="008C087A" w:rsidRDefault="008C087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762" w:type="dxa"/>
            <w:vMerge w:val="restart"/>
          </w:tcPr>
          <w:p w:rsidR="008C087A" w:rsidRDefault="008C087A">
            <w:pPr>
              <w:pStyle w:val="ConsPlusNormal"/>
              <w:jc w:val="center"/>
            </w:pPr>
            <w:r>
              <w:t>Виды деятельности, в отношении которых применяется патентная система налогообложения (показатель, применяемый при установлении размера потенциально возможного к получению индивидуальным предпринимателем годового дохода)</w:t>
            </w:r>
          </w:p>
        </w:tc>
        <w:tc>
          <w:tcPr>
            <w:tcW w:w="3402" w:type="dxa"/>
            <w:gridSpan w:val="2"/>
          </w:tcPr>
          <w:p w:rsidR="008C087A" w:rsidRDefault="008C087A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</w:t>
            </w:r>
          </w:p>
        </w:tc>
      </w:tr>
      <w:tr w:rsidR="008C087A">
        <w:tc>
          <w:tcPr>
            <w:tcW w:w="907" w:type="dxa"/>
            <w:vMerge/>
          </w:tcPr>
          <w:p w:rsidR="008C087A" w:rsidRDefault="008C087A"/>
        </w:tc>
        <w:tc>
          <w:tcPr>
            <w:tcW w:w="4762" w:type="dxa"/>
            <w:vMerge/>
          </w:tcPr>
          <w:p w:rsidR="008C087A" w:rsidRDefault="008C087A"/>
        </w:tc>
        <w:tc>
          <w:tcPr>
            <w:tcW w:w="1701" w:type="dxa"/>
          </w:tcPr>
          <w:p w:rsidR="008C087A" w:rsidRDefault="008C087A">
            <w:pPr>
              <w:pStyle w:val="ConsPlusNormal"/>
              <w:jc w:val="center"/>
            </w:pPr>
            <w:r>
              <w:t>на территории Свердловской области, за исключением территорий городов с численностью населения более 1 миллиона человек, в рублях</w:t>
            </w:r>
          </w:p>
        </w:tc>
        <w:tc>
          <w:tcPr>
            <w:tcW w:w="1701" w:type="dxa"/>
          </w:tcPr>
          <w:p w:rsidR="008C087A" w:rsidRDefault="008C087A">
            <w:pPr>
              <w:pStyle w:val="ConsPlusNormal"/>
              <w:jc w:val="center"/>
            </w:pPr>
            <w:r>
              <w:t>на территории городов с численностью населения более 1 миллиона человек, в рублях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C087A" w:rsidRDefault="008C08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C087A" w:rsidRDefault="008C087A">
            <w:pPr>
              <w:pStyle w:val="ConsPlusNormal"/>
              <w:jc w:val="center"/>
            </w:pPr>
            <w:r>
              <w:t>4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Ремонт, чистка, окраска и пошив обуви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Парикмахерские и косметические услуги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Химическая чистка, крашение и услуги прачечных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 мебели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кинолабораторий</w:t>
            </w:r>
            <w:proofErr w:type="spellEnd"/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  <w:p w:rsidR="008C087A" w:rsidRDefault="008C087A">
            <w:pPr>
              <w:pStyle w:val="ConsPlusNormal"/>
            </w:pPr>
            <w:r>
              <w:t xml:space="preserve">(на единицу средней численности наемных </w:t>
            </w:r>
            <w:r>
              <w:lastRenderedPageBreak/>
              <w:t>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lastRenderedPageBreak/>
              <w:t>114624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286560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  <w:p w:rsidR="008C087A" w:rsidRDefault="008C087A">
            <w:pPr>
              <w:pStyle w:val="ConsPlusNormal"/>
            </w:pPr>
            <w:r>
              <w:t>(на единицу автотранспортных средств)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107582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121030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  <w:p w:rsidR="008C087A" w:rsidRDefault="008C087A">
            <w:pPr>
              <w:pStyle w:val="ConsPlusNormal"/>
            </w:pPr>
            <w:r>
              <w:t>(на единицу автотранспортных средств)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107582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121030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 жилья и других построек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71640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125370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присмотру и уходу за детьми и больными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Ветеринарные услуги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89550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Аренда собственного жилого недвижимого имущества</w:t>
            </w:r>
          </w:p>
          <w:p w:rsidR="008C087A" w:rsidRDefault="008C087A">
            <w:pPr>
              <w:pStyle w:val="ConsPlusNormal"/>
            </w:pPr>
            <w:r>
              <w:lastRenderedPageBreak/>
              <w:t>(на один квадратный метр площади сдаваемых в аренду жилых помещений)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lastRenderedPageBreak/>
              <w:t>2241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5603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Аренда собственного нежилого недвижимого имущества, в том числе садовых домов, земельных участков</w:t>
            </w:r>
          </w:p>
          <w:p w:rsidR="008C087A" w:rsidRDefault="008C087A">
            <w:pPr>
              <w:pStyle w:val="ConsPlusNormal"/>
            </w:pPr>
            <w:r>
              <w:t>(на один квадратный метр площади сдаваемых в аренду нежилых помещений, земельных участков)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10000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Производство и реставрация ковров и ковровых изделий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 ювелирных изделий, бижутерии</w:t>
            </w:r>
          </w:p>
          <w:p w:rsidR="008C087A" w:rsidRDefault="008C087A">
            <w:pPr>
              <w:pStyle w:val="ConsPlusNormal"/>
            </w:pPr>
            <w:r>
              <w:t xml:space="preserve">(на единицу средней численности наемных </w:t>
            </w:r>
            <w:r>
              <w:lastRenderedPageBreak/>
              <w:t>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lastRenderedPageBreak/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71640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149710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Чеканка и гравировка ювелирных изделий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Проведение занятий по физической культуре и спорту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платных туалетов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поваров по изготовлению блюд на дому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25790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64476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  <w:p w:rsidR="008C087A" w:rsidRDefault="008C087A">
            <w:pPr>
              <w:pStyle w:val="ConsPlusNormal"/>
            </w:pPr>
            <w:r>
              <w:t>(на единицу судов водного транспорта)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26896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67239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  <w:p w:rsidR="008C087A" w:rsidRDefault="008C087A">
            <w:pPr>
              <w:pStyle w:val="ConsPlusNormal"/>
            </w:pPr>
            <w:r>
              <w:t>(на единицу судов водного транспорта)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26896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67239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Ведение охотничьего хозяйства и осуществление охоты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121600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384000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 xml:space="preserve">Осуществление частной детективной </w:t>
            </w:r>
            <w:r>
              <w:lastRenderedPageBreak/>
              <w:t>деятельности лицом, имеющим лицензию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lastRenderedPageBreak/>
              <w:t>106400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336000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по прокату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Экскурсионные услуги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Обрядовые услуги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Ритуальные услуги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bookmarkStart w:id="0" w:name="P278"/>
            <w:bookmarkEnd w:id="0"/>
            <w:r>
              <w:t>47.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proofErr w:type="gramStart"/>
            <w:r>
              <w:t>Торговля розничная пищевыми продуктами, напитками и табачными изделиями в специализированных магазинах (а именно фруктами и овощами; мясом и мясными продуктами; рыбой, ракообразными и моллюсками; хлебом и хлебобулочными изделиями и кондитерскими изделиями; молочными продуктами и яйцами),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  <w:proofErr w:type="gramEnd"/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564808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1412019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proofErr w:type="gramStart"/>
            <w:r>
              <w:t>Торговля розничная пищевыми продуктами, напитками и табачными изделиями в специализированных магазинах (а именно пивом; табачными изделиями),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  <w:proofErr w:type="gramEnd"/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1048928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2622321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 (а именно книгами; газетами и канцелярскими товарами),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564808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1412019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Торговля розничная прочими товарами в специализированных магазинах (а именно изделиями из меха; одеждой из кожи; ювелирными изделиями),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1048928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2622321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proofErr w:type="gramStart"/>
            <w:r>
              <w:t>Торговля розничная прочими товарами в специализированных магазинах (а именно изделиями, применяемыми в медицинских целях, ортопедическими изделиями),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  <w:proofErr w:type="gramEnd"/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685838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1714595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bookmarkStart w:id="1" w:name="P303"/>
            <w:bookmarkEnd w:id="1"/>
            <w:r>
              <w:t>52.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Торговля розничная цветами и другими растениями, семенами и удобрениями в специализированных магазинах,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564808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1412019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 xml:space="preserve">Розничная торговля (за исключением видов деятельности, указанных в </w:t>
            </w:r>
            <w:hyperlink w:anchor="P278" w:history="1">
              <w:r>
                <w:rPr>
                  <w:color w:val="0000FF"/>
                </w:rPr>
                <w:t>строках 47</w:t>
              </w:r>
            </w:hyperlink>
            <w:r>
              <w:t xml:space="preserve"> - </w:t>
            </w:r>
            <w:hyperlink w:anchor="P303" w:history="1">
              <w:r>
                <w:rPr>
                  <w:color w:val="0000FF"/>
                </w:rPr>
                <w:t>52</w:t>
              </w:r>
            </w:hyperlink>
            <w:r>
              <w:t xml:space="preserve"> настоящей таблицы),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  <w:p w:rsidR="008C087A" w:rsidRDefault="008C087A">
            <w:pPr>
              <w:pStyle w:val="ConsPlusNormal"/>
            </w:pPr>
            <w:r>
              <w:t>(на один объект стационарной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806868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2017170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  <w:p w:rsidR="008C087A" w:rsidRDefault="008C087A">
            <w:pPr>
              <w:pStyle w:val="ConsPlusNormal"/>
            </w:pPr>
            <w:r>
              <w:t>(на один объект стационарной (нестационарной) торговой сети)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135554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338885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bookmarkStart w:id="2" w:name="P318"/>
            <w:bookmarkEnd w:id="2"/>
            <w:r>
              <w:lastRenderedPageBreak/>
              <w:t>55.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proofErr w:type="gramStart"/>
            <w:r>
              <w:t>Услуги общественного питания, оказываемые через объекты организации общественного питания (а именно деятельность столовых и буфетов при предприятиях и учреждениях; деятельность социальных столовых, буфетов или кафетериев (в офисах, больницах, школах, институтах и прочих) на основе льготных цен на питание) с площадью зала обслуживания посетителей не более 50 квадратных метров по каждому объекту организации общественного питания</w:t>
            </w:r>
            <w:proofErr w:type="gramEnd"/>
          </w:p>
          <w:p w:rsidR="008C087A" w:rsidRDefault="008C087A">
            <w:pPr>
              <w:pStyle w:val="ConsPlusNormal"/>
            </w:pPr>
            <w:r>
              <w:t>(на один объект организации общественного питания)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168098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560325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 xml:space="preserve">Услуги общественного питания, оказываемые через объекты организации общественного питания (за исключением услуг общественного питания, указанных в </w:t>
            </w:r>
            <w:hyperlink w:anchor="P318" w:history="1">
              <w:r>
                <w:rPr>
                  <w:color w:val="0000FF"/>
                </w:rPr>
                <w:t>строке 55</w:t>
              </w:r>
            </w:hyperlink>
            <w:r>
              <w:t xml:space="preserve"> настоящей таблицы)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  <w:p w:rsidR="008C087A" w:rsidRDefault="008C087A">
            <w:pPr>
              <w:pStyle w:val="ConsPlusNormal"/>
            </w:pPr>
            <w:r>
              <w:t>(на один объект организации общественного питания)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336195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1120650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32238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64476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Производство кожи и изделий из кожи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84240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154196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  <w:p w:rsidR="008C087A" w:rsidRDefault="008C087A">
            <w:pPr>
              <w:pStyle w:val="ConsPlusNormal"/>
            </w:pPr>
            <w:r>
              <w:t xml:space="preserve">(на единицу средней численности наемных </w:t>
            </w:r>
            <w:r>
              <w:lastRenderedPageBreak/>
              <w:t>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lastRenderedPageBreak/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Производство молочной продукции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Товарное и спортивное рыболовство и рыбоводство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Лесоводство и прочая лесохозяйственная деятельность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письменному и устному переводу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67152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111921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уходу за престарелыми и инвалидами без обеспечения проживания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107214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179073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  <w:p w:rsidR="008C087A" w:rsidRDefault="008C087A">
            <w:pPr>
              <w:pStyle w:val="ConsPlusNormal"/>
            </w:pPr>
            <w:r>
              <w:t xml:space="preserve">(на единицу средней численности наемных работников (включая индивидуального </w:t>
            </w:r>
            <w:r>
              <w:lastRenderedPageBreak/>
              <w:t>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lastRenderedPageBreak/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Резка, обработка и отделка камня для памятников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Ремонт компьютеров и коммуникационного оборудования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Производство деревянной тары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71640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182660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71640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182660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Подметание улиц и уборка снега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благоустройству ландшафта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53730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  <w:tr w:rsidR="008C087A">
        <w:tc>
          <w:tcPr>
            <w:tcW w:w="907" w:type="dxa"/>
          </w:tcPr>
          <w:p w:rsidR="008C087A" w:rsidRDefault="008C087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762" w:type="dxa"/>
          </w:tcPr>
          <w:p w:rsidR="008C087A" w:rsidRDefault="008C087A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  <w:p w:rsidR="008C087A" w:rsidRDefault="008C087A">
            <w:pPr>
              <w:pStyle w:val="ConsPlusNormal"/>
            </w:pPr>
            <w:r>
              <w:t>(на единицу средней численности наемных работников (включая индивидуального предпринимателя, получающего патент))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35820</w:t>
            </w:r>
          </w:p>
        </w:tc>
        <w:tc>
          <w:tcPr>
            <w:tcW w:w="1701" w:type="dxa"/>
            <w:vAlign w:val="bottom"/>
          </w:tcPr>
          <w:p w:rsidR="008C087A" w:rsidRDefault="008C087A">
            <w:pPr>
              <w:pStyle w:val="ConsPlusNormal"/>
              <w:jc w:val="right"/>
            </w:pPr>
            <w:r>
              <w:t>107460</w:t>
            </w:r>
          </w:p>
        </w:tc>
      </w:tr>
    </w:tbl>
    <w:p w:rsidR="008C087A" w:rsidRDefault="008C087A">
      <w:pPr>
        <w:pStyle w:val="ConsPlusNormal"/>
      </w:pPr>
    </w:p>
    <w:p w:rsidR="008C087A" w:rsidRDefault="008C087A">
      <w:pPr>
        <w:pStyle w:val="ConsPlusTitle"/>
        <w:ind w:firstLine="540"/>
        <w:jc w:val="both"/>
        <w:outlineLvl w:val="0"/>
      </w:pPr>
      <w:r>
        <w:t>Статья 2</w:t>
      </w:r>
    </w:p>
    <w:p w:rsidR="008C087A" w:rsidRDefault="008C087A">
      <w:pPr>
        <w:pStyle w:val="ConsPlusNormal"/>
      </w:pPr>
    </w:p>
    <w:p w:rsidR="008C087A" w:rsidRDefault="008C087A">
      <w:pPr>
        <w:pStyle w:val="ConsPlusNormal"/>
        <w:ind w:firstLine="540"/>
        <w:jc w:val="both"/>
      </w:pPr>
      <w:r>
        <w:t>Настоящий Закон вступает в силу с 1 января 2020 года.</w:t>
      </w:r>
    </w:p>
    <w:p w:rsidR="008C087A" w:rsidRDefault="008C087A">
      <w:pPr>
        <w:pStyle w:val="ConsPlusNormal"/>
      </w:pPr>
    </w:p>
    <w:p w:rsidR="008C087A" w:rsidRDefault="008C087A">
      <w:pPr>
        <w:pStyle w:val="ConsPlusNormal"/>
        <w:jc w:val="right"/>
      </w:pPr>
      <w:r>
        <w:t>Губернатор</w:t>
      </w:r>
    </w:p>
    <w:p w:rsidR="008C087A" w:rsidRDefault="008C087A">
      <w:pPr>
        <w:pStyle w:val="ConsPlusNormal"/>
        <w:jc w:val="right"/>
      </w:pPr>
      <w:r>
        <w:t>Свердловской области</w:t>
      </w:r>
    </w:p>
    <w:p w:rsidR="008C087A" w:rsidRDefault="008C087A">
      <w:pPr>
        <w:pStyle w:val="ConsPlusNormal"/>
        <w:jc w:val="right"/>
      </w:pPr>
      <w:r>
        <w:t>Е.В.КУЙВАШЕВ</w:t>
      </w:r>
    </w:p>
    <w:p w:rsidR="008C087A" w:rsidRDefault="008C087A">
      <w:pPr>
        <w:pStyle w:val="ConsPlusNormal"/>
      </w:pPr>
      <w:r>
        <w:t>г. Екатеринбург</w:t>
      </w:r>
    </w:p>
    <w:p w:rsidR="008C087A" w:rsidRDefault="008C087A">
      <w:pPr>
        <w:pStyle w:val="ConsPlusNormal"/>
        <w:spacing w:before="220"/>
      </w:pPr>
      <w:r>
        <w:t>21 ноября 2019 года</w:t>
      </w:r>
    </w:p>
    <w:p w:rsidR="008C087A" w:rsidRDefault="008C087A">
      <w:pPr>
        <w:pStyle w:val="ConsPlusNormal"/>
        <w:spacing w:before="220"/>
      </w:pPr>
      <w:r>
        <w:t>N 107-ОЗ</w:t>
      </w:r>
    </w:p>
    <w:p w:rsidR="008C087A" w:rsidRDefault="008C087A">
      <w:pPr>
        <w:pStyle w:val="ConsPlusNormal"/>
      </w:pPr>
    </w:p>
    <w:p w:rsidR="008C087A" w:rsidRDefault="008C087A">
      <w:pPr>
        <w:pStyle w:val="ConsPlusNormal"/>
      </w:pPr>
    </w:p>
    <w:p w:rsidR="008C087A" w:rsidRDefault="008C08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15" w:rsidRDefault="00222515"/>
    <w:sectPr w:rsidR="00222515" w:rsidSect="00EE5A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087A"/>
    <w:rsid w:val="00001F56"/>
    <w:rsid w:val="00071678"/>
    <w:rsid w:val="001A5777"/>
    <w:rsid w:val="00222515"/>
    <w:rsid w:val="002225F2"/>
    <w:rsid w:val="00234412"/>
    <w:rsid w:val="00237AF5"/>
    <w:rsid w:val="002F50AA"/>
    <w:rsid w:val="008C087A"/>
    <w:rsid w:val="00B74B8C"/>
    <w:rsid w:val="00B95190"/>
    <w:rsid w:val="00E11DB4"/>
    <w:rsid w:val="00FE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56"/>
    <w:rPr>
      <w:sz w:val="22"/>
      <w:szCs w:val="22"/>
      <w:lang w:eastAsia="en-US"/>
    </w:rPr>
  </w:style>
  <w:style w:type="paragraph" w:customStyle="1" w:styleId="ConsPlusNormal">
    <w:name w:val="ConsPlusNormal"/>
    <w:rsid w:val="008C087A"/>
    <w:pPr>
      <w:widowControl w:val="0"/>
      <w:autoSpaceDE w:val="0"/>
      <w:autoSpaceDN w:val="0"/>
      <w:jc w:val="left"/>
    </w:pPr>
    <w:rPr>
      <w:rFonts w:eastAsia="Times New Roman" w:cs="Calibri"/>
      <w:sz w:val="22"/>
    </w:rPr>
  </w:style>
  <w:style w:type="paragraph" w:customStyle="1" w:styleId="ConsPlusTitle">
    <w:name w:val="ConsPlusTitle"/>
    <w:rsid w:val="008C087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087A"/>
    <w:pPr>
      <w:widowControl w:val="0"/>
      <w:autoSpaceDE w:val="0"/>
      <w:autoSpaceDN w:val="0"/>
      <w:jc w:val="left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F22027395B6C037E2E9A23FCF36A40CC424FDBCB255E362ACC416FBE3284D89152BF7CB9E824DC007BE430656384214C8DEA09897F3CC45582543I7KEP" TargetMode="External"/><Relationship Id="rId13" Type="http://schemas.openxmlformats.org/officeDocument/2006/relationships/hyperlink" Target="consultantplus://offline/ref=073F22027395B6C037E2E9A23FCF36A40CC424FDBCB255E362ACC416FBE3284D89152BF7CB9E824DC007BD410356384214C8DEA09897F3CC45582543I7KE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3F22027395B6C037E2E9A23FCF36A40CC424FDBCB255E362ACC416FBE3284D89152BF7CB9E824DC007BE420F56384214C8DEA09897F3CC45582543I7KEP" TargetMode="External"/><Relationship Id="rId12" Type="http://schemas.openxmlformats.org/officeDocument/2006/relationships/hyperlink" Target="consultantplus://offline/ref=073F22027395B6C037E2F7AF29A368AE0ECC7EF4B8B358B638FEC241A4B32E18DB5575AE88D8914DC219BC4207I5K4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F22027395B6C037E2E9A23FCF36A40CC424FDBCB255E362ACC416FBE3284D89152BF7D99EDA41C005A04304436E1351I9K4P" TargetMode="External"/><Relationship Id="rId11" Type="http://schemas.openxmlformats.org/officeDocument/2006/relationships/hyperlink" Target="consultantplus://offline/ref=073F22027395B6C037E2F7AF29A368AE0ECC7EF4B8B358B638FEC241A4B32E18DB5575AE88D8914DC219BC4207I5K4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3F22027395B6C037E2F7AF29A368AE0ECC7EF4B8B358B638FEC241A4B32E18DB5575AE88D8914DC219BC4207I5K4P" TargetMode="External"/><Relationship Id="rId4" Type="http://schemas.openxmlformats.org/officeDocument/2006/relationships/hyperlink" Target="consultantplus://offline/ref=FE9CA1E5524F1B597F48E614D11A7DD913C82DEEE030B9341188884F87778D72227509C22F758D14FE35310CF73B60A17A810BFA42069091073726DFUFKEP" TargetMode="External"/><Relationship Id="rId9" Type="http://schemas.openxmlformats.org/officeDocument/2006/relationships/hyperlink" Target="consultantplus://offline/ref=073F22027395B6C037E2E9A23FCF36A40CC424FDBCB255E362ACC416FBE3284D89152BF7CB9E824DC007BE420F56384214C8DEA09897F3CC45582543I7KEP" TargetMode="External"/><Relationship Id="rId14" Type="http://schemas.openxmlformats.org/officeDocument/2006/relationships/hyperlink" Target="consultantplus://offline/ref=073F22027395B6C037E2E9A23FCF36A40CC424FDBCB255E362ACC416FBE3284D89152BF7CB9E824DC007BE430E56384214C8DEA09897F3CC45582543I7K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3788</Words>
  <Characters>21592</Characters>
  <Application>Microsoft Office Word</Application>
  <DocSecurity>0</DocSecurity>
  <Lines>179</Lines>
  <Paragraphs>50</Paragraphs>
  <ScaleCrop>false</ScaleCrop>
  <Company/>
  <LinksUpToDate>false</LinksUpToDate>
  <CharactersWithSpaces>25330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1</cp:revision>
  <dcterms:created xsi:type="dcterms:W3CDTF">2019-12-02T15:10:00Z</dcterms:created>
  <dcterms:modified xsi:type="dcterms:W3CDTF">2019-12-02T15:11:00Z</dcterms:modified>
</cp:coreProperties>
</file>