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0" w:rsidRDefault="004B0573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2839C0" w:rsidRDefault="002839C0">
      <w:pPr>
        <w:pStyle w:val="ConsPlusNormal"/>
        <w:jc w:val="both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839C0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9C0" w:rsidRDefault="004B0573">
            <w:pPr>
              <w:pStyle w:val="ConsPlusNormal"/>
            </w:pPr>
            <w:r>
              <w:t>18 марта 2020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9C0" w:rsidRDefault="004B0573">
            <w:pPr>
              <w:pStyle w:val="ConsPlusNormal"/>
              <w:jc w:val="right"/>
            </w:pPr>
            <w:r>
              <w:t>N 100-УГ</w:t>
            </w:r>
          </w:p>
        </w:tc>
      </w:tr>
    </w:tbl>
    <w:p w:rsidR="002839C0" w:rsidRDefault="002839C0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2839C0" w:rsidRDefault="002839C0">
      <w:pPr>
        <w:pStyle w:val="ConsPlusNormal"/>
        <w:jc w:val="both"/>
      </w:pPr>
    </w:p>
    <w:p w:rsidR="002839C0" w:rsidRDefault="004B0573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2839C0" w:rsidRDefault="002839C0">
      <w:pPr>
        <w:pStyle w:val="ConsPlusNormal"/>
        <w:jc w:val="center"/>
        <w:rPr>
          <w:b/>
          <w:bCs/>
        </w:rPr>
      </w:pPr>
    </w:p>
    <w:p w:rsidR="002839C0" w:rsidRDefault="004B0573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2839C0" w:rsidRDefault="002839C0">
      <w:pPr>
        <w:pStyle w:val="ConsPlusNormal"/>
        <w:jc w:val="center"/>
        <w:rPr>
          <w:b/>
          <w:bCs/>
        </w:rPr>
      </w:pPr>
    </w:p>
    <w:p w:rsidR="002839C0" w:rsidRDefault="004B057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ВВЕДЕНИИ НА ТЕРРИТОРИИ </w:t>
      </w:r>
      <w:r>
        <w:rPr>
          <w:b/>
          <w:bCs/>
        </w:rPr>
        <w:t>СВЕРДЛОВСКОЙ ОБЛАСТИ РЕЖИМА</w:t>
      </w:r>
    </w:p>
    <w:p w:rsidR="002839C0" w:rsidRDefault="004B0573">
      <w:pPr>
        <w:pStyle w:val="ConsPlusNormal"/>
        <w:jc w:val="center"/>
        <w:rPr>
          <w:b/>
          <w:bCs/>
        </w:rPr>
      </w:pPr>
      <w:r>
        <w:rPr>
          <w:b/>
          <w:bCs/>
        </w:rPr>
        <w:t>ПОВЫШЕННОЙ ГОТОВНОСТИ И ПРИНЯТИИ ДОПОЛНИТЕЛЬНЫХ МЕР</w:t>
      </w:r>
    </w:p>
    <w:p w:rsidR="002839C0" w:rsidRDefault="004B0573">
      <w:pPr>
        <w:pStyle w:val="ConsPlusNormal"/>
        <w:jc w:val="center"/>
        <w:rPr>
          <w:b/>
          <w:bCs/>
        </w:rPr>
      </w:pPr>
      <w:r>
        <w:rPr>
          <w:b/>
          <w:bCs/>
        </w:rPr>
        <w:t>ПО ЗАЩИТЕ НАСЕЛЕНИЯ ОТ НОВОЙ КОРОНАВИРУСНОЙ ИНФЕКЦИИ</w:t>
      </w:r>
    </w:p>
    <w:p w:rsidR="002839C0" w:rsidRDefault="004B0573">
      <w:pPr>
        <w:pStyle w:val="ConsPlusNormal"/>
        <w:jc w:val="center"/>
        <w:rPr>
          <w:b/>
          <w:bCs/>
        </w:rPr>
      </w:pPr>
      <w:r>
        <w:rPr>
          <w:b/>
          <w:bCs/>
        </w:rPr>
        <w:t>(2019-NCOV)</w:t>
      </w:r>
    </w:p>
    <w:p w:rsidR="002839C0" w:rsidRDefault="002839C0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2839C0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9C0" w:rsidRDefault="002839C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9C0" w:rsidRDefault="002839C0">
            <w:pPr>
              <w:pStyle w:val="ConsPlusNormal"/>
            </w:pPr>
          </w:p>
        </w:tc>
        <w:tc>
          <w:tcPr>
            <w:tcW w:w="9352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9C0" w:rsidRDefault="004B057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839C0" w:rsidRDefault="004B05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10.03.2022 </w:t>
            </w:r>
            <w:hyperlink r:id="rId7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2839C0" w:rsidRDefault="004B05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8" w:history="1">
              <w:r>
                <w:rPr>
                  <w:color w:val="0000FF"/>
                </w:rPr>
                <w:t>N 215-УГ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9C0" w:rsidRDefault="002839C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839C0" w:rsidRDefault="002839C0">
      <w:pPr>
        <w:pStyle w:val="ConsPlusNormal"/>
        <w:jc w:val="both"/>
      </w:pPr>
    </w:p>
    <w:p w:rsidR="002839C0" w:rsidRDefault="004B0573">
      <w:pPr>
        <w:pStyle w:val="ConsPlusNormal"/>
        <w:ind w:firstLine="540"/>
        <w:jc w:val="both"/>
      </w:pPr>
      <w:r>
        <w:t xml:space="preserve">В связи с угрозой распространения на территории Свердловской области новой коронавирусной инфекции (2019-nCoV), в соответствии с </w:t>
      </w:r>
      <w:hyperlink r:id="rId9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</w:t>
      </w:r>
      <w:r>
        <w:lastRenderedPageBreak/>
        <w:t xml:space="preserve">характера", </w:t>
      </w:r>
      <w:hyperlink r:id="rId11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12" w:history="1">
        <w:r>
          <w:rPr>
            <w:color w:val="0000FF"/>
          </w:rPr>
          <w:t>29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13" w:history="1">
        <w:r>
          <w:rPr>
            <w:color w:val="0000FF"/>
          </w:rPr>
          <w:t>пунктами 3-1</w:t>
        </w:r>
      </w:hyperlink>
      <w:r>
        <w:t xml:space="preserve"> и </w:t>
      </w:r>
      <w:hyperlink r:id="rId14" w:history="1">
        <w:r>
          <w:rPr>
            <w:color w:val="0000FF"/>
          </w:rPr>
          <w:t>3-3 статьи 6</w:t>
        </w:r>
      </w:hyperlink>
      <w:r>
        <w:t xml:space="preserve"> Закона Свердловской области от 27 декабря 2004 года N 221-ОЗ "О защите населения и территорий от чрезвычайных ситуаций природного и техногенного характера в Свердловской области" постановляю: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1. Ввести на территории Свердловской обл</w:t>
      </w:r>
      <w:r>
        <w:t>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2. Жителям Свердловской области при нахождении в местах массового пребывания л</w:t>
      </w:r>
      <w:r>
        <w:t>юдей, общественном транспорте, такси, на парковках, в лифтах использовать индивидуальные средства защиты дыхательных путей (санитарно-гигиенические маски, респираторы).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Установить, что посещение жителями Свердловской области мест массового пребывания людей</w:t>
      </w:r>
      <w:r>
        <w:t>, общественного транспорта, такси, парковок, лифтов без использования индивидуальных средств защиты дыхательных путей не допускается.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Под местами массового пребывания людей в настоящем Указе понимаются находящиеся в зданиях, строениях, сооружениях (помещен</w:t>
      </w:r>
      <w:r>
        <w:t>иях в них) места общего пользования, в которых при определенных условиях может одновременно находиться более 50 человек.</w:t>
      </w:r>
    </w:p>
    <w:p w:rsidR="002839C0" w:rsidRDefault="004B0573">
      <w:pPr>
        <w:pStyle w:val="ConsPlusNormal"/>
        <w:jc w:val="both"/>
      </w:pPr>
      <w:r>
        <w:t xml:space="preserve">(часть третья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29.04.2022 N 215-УГ)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В целях обеспечения исп</w:t>
      </w:r>
      <w:r>
        <w:t xml:space="preserve">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</w:t>
      </w:r>
      <w:r>
        <w:lastRenderedPageBreak/>
        <w:t>товаров, оказания услуг, выполнения работ, не допускать в указанные помещения для обслу</w:t>
      </w:r>
      <w:r>
        <w:t>живания граждан, не использующих индивидуальные средства защиты дыхательных путей.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3. Рекомендовать жителям Свердловской области в возрасте 60 лет и старше, а также жителям Свердловской области, имеющим хронические заболевания (в первую очередь сердечно-со</w:t>
      </w:r>
      <w:r>
        <w:t>судистые заболевания, болезни органов дыхания, диабет), обеспечить самоизоляцию на дому, за исключением руководителей и сотрудников государственных органов Свердловской области, органов местного самоуправления муниципальных образований, расположенных на те</w:t>
      </w:r>
      <w:r>
        <w:t>рритории Свердловской области, организаций, осуществляющих деятельность на территории Свердловской области, чье нахождение на рабочем месте является критически важным для обеспечения их функционирования, лиц, являющихся участниками уголовного либо админист</w:t>
      </w:r>
      <w:r>
        <w:t>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</w:t>
      </w:r>
      <w:r>
        <w:t>ивного штаба по предупреждению возникновения и распространения на территории Свердловской области новой коронавирусной инфекции (2019-nCoV).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Под организациями в настоящем Указе понимаются юридические лица и индивидуальные предприниматели, за исключением сл</w:t>
      </w:r>
      <w:r>
        <w:t>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4. Обязать работодателей, осуществляющих деятельность на территории Свердловской области: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1) обеспеч</w:t>
      </w:r>
      <w:r>
        <w:t xml:space="preserve">ить соблюдение в зданиях, строениях, сооружениях (помещениях в них), на прилегающих </w:t>
      </w:r>
      <w:r>
        <w:lastRenderedPageBreak/>
        <w:t>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</w:t>
      </w:r>
      <w:r>
        <w:t xml:space="preserve">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обеспечения работников индивидуальными средствами защиты дыхательных путей и дезинфи</w:t>
      </w:r>
      <w:r>
        <w:t>цирующими средствами, кожными антисептиками;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тела, признаками острой респираторной вирусной инфек</w:t>
      </w:r>
      <w:r>
        <w:t>ции;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3) оказывать работникам содействие в обеспечении соблюдения режима самоизоляции на дому;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4) обеспечить использование работниками индивидуальных средств защиты дыхательных путей;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 xml:space="preserve">5) обеспечить систематическое информирование работников о мерах </w:t>
      </w:r>
      <w:r>
        <w:t>профилактики новой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 коронавирусной инфекции (2019-nCoV).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Рекомендовать работодателям, осуществляющим д</w:t>
      </w:r>
      <w:r>
        <w:t>еятельность на территории Свердловской области,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5. Областным исполнительным орган</w:t>
      </w:r>
      <w:r>
        <w:t xml:space="preserve">ам государственной власти Свердловской области обеспечить </w:t>
      </w:r>
      <w:r>
        <w:lastRenderedPageBreak/>
        <w:t>информирование организаций, осуществляющих деятельность в курируемой отрасли, о санитарно-эпидемиологических требованиях и рекомендациях Федеральной службы по надзору в сфере защиты прав потребителе</w:t>
      </w:r>
      <w:r>
        <w:t>й и благополучия человека, направленных на борьбу с распространением новой коронавирусной инфекции (2019-nCoV), и контроль за их выполнением.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6. Министерству общественной безопасности Свердловской области обеспечить работу горячей линии Свердловской област</w:t>
      </w:r>
      <w:r>
        <w:t>и по номеру телефона 112 и номеру телефона (343) 312-08-81 по вопросам, связанным с новой коронавирусной инфекцией (2019-nCoV), на базе государственного казенного учреждения Свердловской области "Территориальный центр мониторинга и реагирования на чрезвыча</w:t>
      </w:r>
      <w:r>
        <w:t>йные ситуации в Свердловской области".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7. Министерству здравоохранения Свердловской области: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1) принять меры по обеспечению аппаратами искусственной вентиляции легких медицинских организаций, осуществляющих деятельность на территории Свердловской области (</w:t>
      </w:r>
      <w:r>
        <w:t>далее - медицинские организации), в соответствии с потребностью.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2) обеспечить возможность оформл</w:t>
      </w:r>
      <w:r>
        <w:t>ения листков нетрудоспособности без посещения медицинских организаций для граждан, у которых по результатам лабораторных исследований подтверждено наличие новой коронавирусной инфекции (2019-nCoV);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3) организовать работу медицинских организаций с приоритет</w:t>
      </w:r>
      <w:r>
        <w:t xml:space="preserve">ом оказания медицинской помощи на дому лихорадящим больным с респираторными симптомами и пациентам старше 60 лет, для чего обеспечить </w:t>
      </w:r>
      <w:r>
        <w:lastRenderedPageBreak/>
        <w:t>усиление выездной амбулаторной службы сотрудниками отделений профилактики, городской фтизиатрической службы и клиническими</w:t>
      </w:r>
      <w:r>
        <w:t xml:space="preserve"> ординаторами федерального государственного бюджетного образовательного учреждения высшего образования "Уральский государственный медицинский университет" Министерства здравоохранения Российской Федерации;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 xml:space="preserve">4) обеспечить готовность медицинских организаций, </w:t>
      </w:r>
      <w:r>
        <w:t>осуществляющих медицинскую помощь в амбулаторных и стационарных условиях,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</w:t>
      </w:r>
      <w:r>
        <w:t>ую коронавирусную инфекцию (2019-nCoV);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5)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</w:t>
      </w:r>
      <w:r>
        <w:t>й подтверждено наличие новой коронавирусной инфекции (2019-nCoV), в соответствии с медицинскими показаниями;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6) организовать по назначению медицинских организаций государственной и муниципальной систем здравоохранения Свердловской области бесплатное предос</w:t>
      </w:r>
      <w:r>
        <w:t>тавление гражданам, у которых подтверждено наличие новой коронавирусной инфекции (2019-nCoV), гражданам с подозрением на наличие новой коронавирусной инфекции (2019-nCoV), а также гражданам, привлеченным к реализации мероприятий по предупреждению распростр</w:t>
      </w:r>
      <w:r>
        <w:t>анения на территории Свердловской области новой коронавирусной инфекции (2019-nCoV), лекарственных препаратов в соответствии со схемами лечения, утвержденными Министерством здравоохранения Свердловской области.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lastRenderedPageBreak/>
        <w:t>8. Министерству образования и молодежной поли</w:t>
      </w:r>
      <w:r>
        <w:t>тики Свердловской области организовать при необходимости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образования, осуществляющих деятельн</w:t>
      </w:r>
      <w:r>
        <w:t>ость на территории Свердловской области,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9. Р</w:t>
      </w:r>
      <w:r>
        <w:t>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образованиях, расположенных на территории Свердловской области.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10. Органам мест</w:t>
      </w:r>
      <w:r>
        <w:t>ного самоуправления муниципальных образований, расположенных на территории Свердловской области: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1) обеспечить проведение противоэпидемических мероприятий в объеме, предусмотренном настоящим Указом;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 xml:space="preserve">2) при изменении санитарно-эпидемиологической обстановки </w:t>
      </w:r>
      <w:r>
        <w:t>обращаться к Губернатору Свердловской области с ходатайством об изменении комплекса ограничительных мер, предусмотренных настоящим Указом.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t>11. Заместителю Губернатора Свердловской области П.В. Крекову обеспечить работу координационной комиссии по профилакт</w:t>
      </w:r>
      <w:r>
        <w:t>ике социально значимых заболеваний и санитарно-эпидемиологическому благополучию в Свердловской области в круглосуточном режиме.</w:t>
      </w:r>
    </w:p>
    <w:p w:rsidR="002839C0" w:rsidRDefault="004B0573">
      <w:pPr>
        <w:pStyle w:val="ConsPlusNormal"/>
        <w:spacing w:before="240"/>
        <w:ind w:firstLine="540"/>
        <w:jc w:val="both"/>
      </w:pPr>
      <w:r>
        <w:lastRenderedPageBreak/>
        <w:t>12. Контроль за исполнением настоящего Указа оставляю за собой.</w:t>
      </w:r>
    </w:p>
    <w:p w:rsidR="002839C0" w:rsidRDefault="002839C0">
      <w:pPr>
        <w:pStyle w:val="ConsPlusNormal"/>
        <w:jc w:val="both"/>
      </w:pPr>
    </w:p>
    <w:p w:rsidR="002839C0" w:rsidRDefault="004B0573">
      <w:pPr>
        <w:pStyle w:val="ConsPlusNormal"/>
        <w:jc w:val="right"/>
      </w:pPr>
      <w:r>
        <w:t>Губернатор</w:t>
      </w:r>
    </w:p>
    <w:p w:rsidR="002839C0" w:rsidRDefault="004B0573">
      <w:pPr>
        <w:pStyle w:val="ConsPlusNormal"/>
        <w:jc w:val="right"/>
      </w:pPr>
      <w:r>
        <w:t>Свердловской области</w:t>
      </w:r>
    </w:p>
    <w:p w:rsidR="002839C0" w:rsidRDefault="004B0573">
      <w:pPr>
        <w:pStyle w:val="ConsPlusNormal"/>
        <w:jc w:val="right"/>
      </w:pPr>
      <w:r>
        <w:t>Е.В.КУЙВАШЕВ</w:t>
      </w:r>
    </w:p>
    <w:p w:rsidR="002839C0" w:rsidRDefault="004B0573">
      <w:pPr>
        <w:pStyle w:val="ConsPlusNormal"/>
      </w:pPr>
      <w:r>
        <w:t>г. Екатеринбург</w:t>
      </w:r>
    </w:p>
    <w:p w:rsidR="002839C0" w:rsidRDefault="004B0573">
      <w:pPr>
        <w:pStyle w:val="ConsPlusNormal"/>
        <w:spacing w:before="240"/>
      </w:pPr>
      <w:r>
        <w:t>18</w:t>
      </w:r>
      <w:r>
        <w:t xml:space="preserve"> марта 2020 года</w:t>
      </w:r>
    </w:p>
    <w:p w:rsidR="002839C0" w:rsidRDefault="004B0573">
      <w:pPr>
        <w:pStyle w:val="ConsPlusNormal"/>
        <w:spacing w:before="240"/>
      </w:pPr>
      <w:r>
        <w:t>N 100-УГ</w:t>
      </w:r>
    </w:p>
    <w:p w:rsidR="002839C0" w:rsidRDefault="002839C0">
      <w:pPr>
        <w:pStyle w:val="ConsPlusNormal"/>
        <w:jc w:val="both"/>
      </w:pPr>
    </w:p>
    <w:p w:rsidR="002839C0" w:rsidRDefault="002839C0">
      <w:pPr>
        <w:pStyle w:val="ConsPlusNormal"/>
        <w:jc w:val="both"/>
      </w:pPr>
    </w:p>
    <w:p w:rsidR="002839C0" w:rsidRDefault="002839C0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2839C0" w:rsidRDefault="002839C0">
      <w:pPr>
        <w:pStyle w:val="Standard"/>
      </w:pPr>
    </w:p>
    <w:sectPr w:rsidR="002839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73" w:rsidRDefault="004B0573">
      <w:r>
        <w:separator/>
      </w:r>
    </w:p>
  </w:endnote>
  <w:endnote w:type="continuationSeparator" w:id="0">
    <w:p w:rsidR="004B0573" w:rsidRDefault="004B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73" w:rsidRDefault="004B0573">
      <w:r>
        <w:rPr>
          <w:color w:val="000000"/>
        </w:rPr>
        <w:separator/>
      </w:r>
    </w:p>
  </w:footnote>
  <w:footnote w:type="continuationSeparator" w:id="0">
    <w:p w:rsidR="004B0573" w:rsidRDefault="004B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39C0"/>
    <w:rsid w:val="002839C0"/>
    <w:rsid w:val="003D4857"/>
    <w:rsid w:val="004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283234C-A39C-4B41-AED6-F53947C3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E3B91BFC88C494F99524A97339F8356481123B0DDF13D60BB635EF70FBF6A7716FE7ACCC6E01254D577463C81A975198823B23E7B25E1646FF492qFc7N" TargetMode="External"/><Relationship Id="rId13" Type="http://schemas.openxmlformats.org/officeDocument/2006/relationships/hyperlink" Target="consultantplus://offline/ref=37BE3B91BFC88C494F99524A97339F8356481123B0DDF33A62B8635EF70FBF6A7716FE7ACCC6E01056DE23177FDFF02654C32EB4296725E7q7c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E3B91BFC88C494F99524A97339F8356481123B0DDF23B64B8635EF70FBF6A7716FE7ACCC6E01254D577463C81A975198823B23E7B25E1646FF492qFc7N" TargetMode="External"/><Relationship Id="rId12" Type="http://schemas.openxmlformats.org/officeDocument/2006/relationships/hyperlink" Target="consultantplus://offline/ref=37BE3B91BFC88C494F994C47815FC189544A4F2CBBDFFD6D3FEE6509A85FB93F3756F82F8F82EC1B5DDE23177FDFF02654C32EB4296725E7q7c8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37BE3B91BFC88C494F994C47815FC189544A4F2CBBDFFD6D3FEE6509A85FB93F3756F82F8F82E91053DE23177FDFF02654C32EB4296725E7q7c8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BE3B91BFC88C494F99524A97339F8356481123B0DDF13D60BB635EF70FBF6A7716FE7ACCC6E01254D577463381A975198823B23E7B25E1646FF492qFc7N" TargetMode="External"/><Relationship Id="rId10" Type="http://schemas.openxmlformats.org/officeDocument/2006/relationships/hyperlink" Target="consultantplus://offline/ref=37BE3B91BFC88C494F994C47815FC18953434A28B7DFFD6D3FEE6509A85FB93F3756F82C8E8BE6470591224B3983E32459C32CB035q6c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BE3B91BFC88C494F994C47815FC18953434A28B7DFFD6D3FEE6509A85FB93F3756F82F8D8BE6470591224B3983E32459C32CB035q6c7N" TargetMode="External"/><Relationship Id="rId14" Type="http://schemas.openxmlformats.org/officeDocument/2006/relationships/hyperlink" Target="consultantplus://offline/ref=37BE3B91BFC88C494F99524A97339F8356481123B0DDF33A62B8635EF70FBF6A7716FE7ACCC6E01050DE23177FDFF02654C32EB4296725E7q7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2022-05-04T05:25:00Z</dcterms:created>
  <dcterms:modified xsi:type="dcterms:W3CDTF">2022-05-04T05:25:00Z</dcterms:modified>
</cp:coreProperties>
</file>