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FF" w:rsidRDefault="007162AF">
      <w:pPr>
        <w:pStyle w:val="ConsPlusNormal"/>
      </w:pPr>
      <w:bookmarkStart w:id="0" w:name="_GoBack"/>
      <w:bookmarkEnd w:id="0"/>
      <w:r>
        <w:rPr>
          <w:rFonts w:ascii="Tahoma" w:eastAsia="Tahoma" w:hAnsi="Tahoma" w:cs="Tahoma"/>
          <w:sz w:val="20"/>
          <w:szCs w:val="20"/>
        </w:rPr>
        <w:t xml:space="preserve">Документ предоставлен </w:t>
      </w:r>
      <w:hyperlink r:id="rId6" w:history="1">
        <w:r>
          <w:rPr>
            <w:rFonts w:ascii="Tahoma" w:eastAsia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:rsidR="00876EFF" w:rsidRDefault="00876EFF">
      <w:pPr>
        <w:pStyle w:val="ConsPlusNormal"/>
        <w:jc w:val="bot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76EFF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EFF" w:rsidRDefault="007162AF">
            <w:pPr>
              <w:pStyle w:val="ConsPlusNormal"/>
            </w:pPr>
            <w:r>
              <w:t>18 марта 2020 года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EFF" w:rsidRDefault="007162AF">
            <w:pPr>
              <w:pStyle w:val="ConsPlusNormal"/>
              <w:jc w:val="right"/>
            </w:pPr>
            <w:r>
              <w:t>N 100-УГ</w:t>
            </w:r>
          </w:p>
        </w:tc>
      </w:tr>
    </w:tbl>
    <w:p w:rsidR="00876EFF" w:rsidRDefault="00876EFF">
      <w:pPr>
        <w:pStyle w:val="ConsPlus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00" w:after="100"/>
        <w:jc w:val="both"/>
      </w:pPr>
    </w:p>
    <w:p w:rsidR="00876EFF" w:rsidRDefault="00876EFF">
      <w:pPr>
        <w:pStyle w:val="ConsPlusNormal"/>
        <w:jc w:val="both"/>
      </w:pPr>
    </w:p>
    <w:p w:rsidR="00876EFF" w:rsidRDefault="007162AF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876EFF" w:rsidRDefault="00876EFF">
      <w:pPr>
        <w:pStyle w:val="ConsPlusNormal"/>
        <w:jc w:val="center"/>
        <w:rPr>
          <w:b/>
          <w:bCs/>
        </w:rPr>
      </w:pPr>
    </w:p>
    <w:p w:rsidR="00876EFF" w:rsidRDefault="007162AF">
      <w:pPr>
        <w:pStyle w:val="ConsPlusNormal"/>
        <w:jc w:val="center"/>
        <w:rPr>
          <w:b/>
          <w:bCs/>
        </w:rPr>
      </w:pPr>
      <w:r>
        <w:rPr>
          <w:b/>
          <w:bCs/>
        </w:rPr>
        <w:t>ГУБЕРНАТОРА СВЕРДЛОВСКОЙ ОБЛАСТИ</w:t>
      </w:r>
    </w:p>
    <w:p w:rsidR="00876EFF" w:rsidRDefault="00876EFF">
      <w:pPr>
        <w:pStyle w:val="ConsPlusNormal"/>
        <w:jc w:val="center"/>
        <w:rPr>
          <w:b/>
          <w:bCs/>
        </w:rPr>
      </w:pPr>
    </w:p>
    <w:p w:rsidR="00876EFF" w:rsidRDefault="007162AF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ВВЕДЕНИИ НА ТЕРРИТОРИИ </w:t>
      </w:r>
      <w:r>
        <w:rPr>
          <w:b/>
          <w:bCs/>
        </w:rPr>
        <w:t>СВЕРДЛОВСКОЙ ОБЛАСТИ РЕЖИМА</w:t>
      </w:r>
    </w:p>
    <w:p w:rsidR="00876EFF" w:rsidRDefault="007162AF">
      <w:pPr>
        <w:pStyle w:val="ConsPlusNormal"/>
        <w:jc w:val="center"/>
        <w:rPr>
          <w:b/>
          <w:bCs/>
        </w:rPr>
      </w:pPr>
      <w:r>
        <w:rPr>
          <w:b/>
          <w:bCs/>
        </w:rPr>
        <w:t>ПОВЫШЕННОЙ ГОТОВНОСТИ И ПРИНЯТИИ ДОПОЛНИТЕЛЬНЫХ МЕР</w:t>
      </w:r>
    </w:p>
    <w:p w:rsidR="00876EFF" w:rsidRDefault="007162AF">
      <w:pPr>
        <w:pStyle w:val="ConsPlusNormal"/>
        <w:jc w:val="center"/>
        <w:rPr>
          <w:b/>
          <w:bCs/>
        </w:rPr>
      </w:pPr>
      <w:r>
        <w:rPr>
          <w:b/>
          <w:bCs/>
        </w:rPr>
        <w:t>ПО ЗАЩИТЕ НАСЕЛЕНИЯ ОТ НОВОЙ КОРОНАВИРУСНОЙ ИНФЕКЦИИ</w:t>
      </w:r>
    </w:p>
    <w:p w:rsidR="00876EFF" w:rsidRDefault="007162AF">
      <w:pPr>
        <w:pStyle w:val="ConsPlusNormal"/>
        <w:jc w:val="center"/>
        <w:rPr>
          <w:b/>
          <w:bCs/>
        </w:rPr>
      </w:pPr>
      <w:r>
        <w:rPr>
          <w:b/>
          <w:bCs/>
        </w:rPr>
        <w:t>(2019-NCOV)</w:t>
      </w:r>
    </w:p>
    <w:p w:rsidR="00876EFF" w:rsidRDefault="00876EFF">
      <w:pPr>
        <w:pStyle w:val="ConsPlusNormal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876EFF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EFF" w:rsidRDefault="00876EF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EFF" w:rsidRDefault="00876EFF">
            <w:pPr>
              <w:pStyle w:val="ConsPlusNormal"/>
            </w:pPr>
          </w:p>
        </w:tc>
        <w:tc>
          <w:tcPr>
            <w:tcW w:w="935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EFF" w:rsidRDefault="007162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76EFF" w:rsidRDefault="007162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10.03.2022 </w:t>
            </w:r>
            <w:hyperlink r:id="rId7" w:history="1">
              <w:r>
                <w:rPr>
                  <w:color w:val="0000FF"/>
                </w:rPr>
                <w:t>N 128-УГ</w:t>
              </w:r>
            </w:hyperlink>
            <w:r>
              <w:rPr>
                <w:color w:val="392C69"/>
              </w:rPr>
              <w:t>,</w:t>
            </w:r>
          </w:p>
          <w:p w:rsidR="00876EFF" w:rsidRDefault="007162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8" w:history="1">
              <w:r>
                <w:rPr>
                  <w:color w:val="0000FF"/>
                </w:rPr>
                <w:t>N 215-УГ</w:t>
              </w:r>
            </w:hyperlink>
            <w:r>
              <w:rPr>
                <w:color w:val="392C69"/>
              </w:rPr>
              <w:t xml:space="preserve">, от 03.06.2022 </w:t>
            </w:r>
            <w:hyperlink r:id="rId9" w:history="1">
              <w:r>
                <w:rPr>
                  <w:color w:val="0000FF"/>
                </w:rPr>
                <w:t>N 271-УГ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EFF" w:rsidRDefault="00876EF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76EFF" w:rsidRDefault="00876EFF">
      <w:pPr>
        <w:pStyle w:val="ConsPlusNormal"/>
        <w:jc w:val="both"/>
      </w:pPr>
    </w:p>
    <w:p w:rsidR="00876EFF" w:rsidRDefault="007162AF">
      <w:pPr>
        <w:pStyle w:val="ConsPlusNormal"/>
        <w:ind w:firstLine="540"/>
        <w:jc w:val="both"/>
      </w:pPr>
      <w:r>
        <w:t xml:space="preserve">В связи с угрозой распространения на территории Свердловской области новой коронавирусной инфекции (2019-nCoV), в соответствии с </w:t>
      </w:r>
      <w:hyperlink r:id="rId10" w:history="1">
        <w:r>
          <w:rPr>
            <w:color w:val="0000FF"/>
          </w:rPr>
          <w:t>подпунктом "б" пункта 6 статьи 4.1</w:t>
        </w:r>
      </w:hyperlink>
      <w:r>
        <w:t xml:space="preserve">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21 декабря 1994 года N 68-ФЗ "О защите населения и территорий от чрезвычайных ситуаций природного и </w:t>
      </w:r>
      <w:r>
        <w:lastRenderedPageBreak/>
        <w:t xml:space="preserve">техногенного характера", </w:t>
      </w:r>
      <w:hyperlink r:id="rId12" w:history="1">
        <w:r>
          <w:rPr>
            <w:color w:val="0000FF"/>
          </w:rPr>
          <w:t>статьями 6</w:t>
        </w:r>
      </w:hyperlink>
      <w:r>
        <w:t xml:space="preserve"> и </w:t>
      </w:r>
      <w:hyperlink r:id="rId13" w:history="1">
        <w:r>
          <w:rPr>
            <w:color w:val="0000FF"/>
          </w:rPr>
          <w:t>29</w:t>
        </w:r>
      </w:hyperlink>
      <w:r>
        <w:t xml:space="preserve"> Федерального закона от 30 марта 1999 года N 52-ФЗ "О санитарно-эпидемиологическом благополучии населения", </w:t>
      </w:r>
      <w:hyperlink r:id="rId14" w:history="1">
        <w:r>
          <w:rPr>
            <w:color w:val="0000FF"/>
          </w:rPr>
          <w:t>пунктами 3-1</w:t>
        </w:r>
      </w:hyperlink>
      <w:r>
        <w:t xml:space="preserve"> и </w:t>
      </w:r>
      <w:hyperlink r:id="rId15" w:history="1">
        <w:r>
          <w:rPr>
            <w:color w:val="0000FF"/>
          </w:rPr>
          <w:t>3-3 статьи 6</w:t>
        </w:r>
      </w:hyperlink>
      <w:r>
        <w:t xml:space="preserve"> Закона Свердловской области от 27 декабря 2004 года N 221-ОЗ "О защите населения и территорий от чрезвычайных ситуаций природного и техногенного характера в Свердловской области" постановляю: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1. Ввести на территории Свердловской обл</w:t>
      </w:r>
      <w:r>
        <w:t>асти режим повышенной готовности для органов управления и сил Свердловской областной подсистемы единой государственной системы предупреждения и ликвидации чрезвычайных ситуаций.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 xml:space="preserve">2. Утратил силу. - </w:t>
      </w:r>
      <w:hyperlink r:id="rId16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03.06.2022 N 271-УГ.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3. Рекомендовать жителям</w:t>
      </w:r>
      <w:r>
        <w:t xml:space="preserve"> Свердловской области в возрасте 60 лет и старше, а также жителям Свердловской области, имеющим хронические заболевания (в первую очередь сердечно-сосудистые заболевания, болезни органов дыхания, диабет), обеспечить самоизоляцию на дому, за исключением рук</w:t>
      </w:r>
      <w:r>
        <w:t>оводителей и сотрудников государственных органов Свердловской области, органов местного самоуправления муниципальных образований, расположенных на территории Свердловской области, организаций, осуществляющих деятельность на территории Свердловской области,</w:t>
      </w:r>
      <w:r>
        <w:t xml:space="preserve"> чье нахождение на рабочем месте является критически важным для обеспечения их функционирования, лиц, являющихся участниками уголовного либо административного судопроизводства, следующих к месту участия в производимых в установленном законом порядке процес</w:t>
      </w:r>
      <w:r>
        <w:t>суальных действиях (на основании удостоверения, повестки, вызова органа следствия, дознания либо суда), а также граждан, определенных решением оперативного штаба по предупреждению возникновения и распространения на территории Свердловской области новой кор</w:t>
      </w:r>
      <w:r>
        <w:t>онавирусной инфекции (2019-nCoV).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lastRenderedPageBreak/>
        <w:t>Под организациями в настоящем Указе понимаются юридические лица и индивидуальные предприниматели, за исключением случаев, когда в соответствии с законодательством Российской Федерации отдельные виды деятельности не могут о</w:t>
      </w:r>
      <w:r>
        <w:t>существляться без образования юридического лица.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4. Обязать работодателей, осуществляющих деятельность на территории Свердловской области: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1) обеспечить соблюдение в зданиях, строениях, сооружениях (помещениях в них), на прилегающих территориях, иных рабоч</w:t>
      </w:r>
      <w:r>
        <w:t>их местах, с использованием которых осуществляется соответствующая деятельность, санитарно-эпидемиологических требований по защите от распространения новой коронавирусной инфекции (2019-nCoV) в соответствии с законодательством в сфере обеспечения санитарно</w:t>
      </w:r>
      <w:r>
        <w:t>-эпидемиологического благополучия населения;</w:t>
      </w:r>
    </w:p>
    <w:p w:rsidR="00876EFF" w:rsidRDefault="007162A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Свердловской </w:t>
      </w:r>
      <w:r>
        <w:t>области от 03.06.2022 N 271-УГ)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2)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тела, признаками острой респираторной вирусной инфекции;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3) оказы</w:t>
      </w:r>
      <w:r>
        <w:t>вать работникам содействие в обеспечении соблюдения режима самоизоляции на дому;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 xml:space="preserve">4) - 5) утратили силу. - </w:t>
      </w:r>
      <w:hyperlink r:id="rId18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03.06.2022 N 271-УГ.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Рекомендовать работодателям, осуществляющим деятельность на территории Свердловской области, освобождать от работы в течение двух дней с сохранением заработной платы работн</w:t>
      </w:r>
      <w:r>
        <w:t>иков при проведении профилактической прививки против новой коронавирусной инфекции (2019-nCoV).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lastRenderedPageBreak/>
        <w:t xml:space="preserve">5. Областным исполнительным органам государственной власти Свердловской области обеспечить информирование организаций, осуществляющих деятельность в курируемой </w:t>
      </w:r>
      <w:r>
        <w:t>отрасли, о санитарно-эпидемиологических требованиях и рекомендациях Федеральной службы по надзору в сфере защиты прав потребителей и благополучия человека, направленных на борьбу с распространением новой коронавирусной инфекции (2019-nCoV), и контроль за и</w:t>
      </w:r>
      <w:r>
        <w:t>х выполнением.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6. Министерству общественной безопасности Свердловской области обеспечить работу горячей линии Свердловской области по номеру телефона 112 и номеру телефона (343) 312-08-81 по вопросам, связанным с новой коронавирусной инфекцией (2019-nCoV),</w:t>
      </w:r>
      <w:r>
        <w:t xml:space="preserve"> на базе государственного казенного учреждения Свердловской области "Территориальный центр мониторинга и реагирования на чрезвычайные ситуации в Свердловской области".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7. Министерству здравоохранения Свердловской области: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1) принять меры по обеспечению апп</w:t>
      </w:r>
      <w:r>
        <w:t>аратами искусственной вентиляции легких медицинских организаций, осуществляющих деятельность на территории Свердловской области (далее - медицинские организации), в соответствии с потребностью. При необходимости принять меры для приобретения аппаратов иску</w:t>
      </w:r>
      <w:r>
        <w:t>сственной вентиляции легких за счет средств резервного фонда Правительства Свердловской области;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2) обеспечить возможность оформления листков нетрудоспособности без посещения медицинских организаций для граждан, у которых по результатам лабораторных исслед</w:t>
      </w:r>
      <w:r>
        <w:t>ований подтверждено наличие новой коронавирусной инфекции (2019-nCoV);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lastRenderedPageBreak/>
        <w:t>3) организовать работу медицинских организаций с приоритетом оказания медицинской помощи на дому лихорадящим больным с респираторными симптомами и пациентам старше 60 лет, для чего обес</w:t>
      </w:r>
      <w:r>
        <w:t>печить усиление выездной амбулаторной службы сотрудниками отделений профилактики, городской фтизиатрической службы и клиническими ординаторами федерального государственного бюджетного образовательного учреждения высшего образования "Уральский государственн</w:t>
      </w:r>
      <w:r>
        <w:t>ый медицинский университет" Министерства здравоохранения Российской Федерации;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4) обеспечить готовность медицинских организаций, осуществляющих медицинскую помощь в амбулаторных и стационарных условиях, оказывающих скорую медицинскую помощь, к приему и опе</w:t>
      </w:r>
      <w:r>
        <w:t>ративному оказанию медицинской помощи больным с респираторными симптомами, отбор биологического материала для исследования на новую коронавирусную инфекцию (2019-nCoV);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5) совместно с Управлением Федеральной службы по надзору в сфере защиты прав потребител</w:t>
      </w:r>
      <w:r>
        <w:t>ей и благополучия человека по Свердловской области обеспечить изоляцию граждан, у которых по результатам лабораторных исследований подтверждено наличие новой коронавирусной инфекции (2019-nCoV), в соответствии с медицинскими показаниями;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6) организовать по</w:t>
      </w:r>
      <w:r>
        <w:t xml:space="preserve"> назначению медицинских организаций государственной и муниципальной систем здравоохранения Свердловской области бесплатное предоставление гражданам, у которых подтверждено наличие новой коронавирусной инфекции (2019-nCoV), гражданам с подозрением на наличи</w:t>
      </w:r>
      <w:r>
        <w:t>е новой коронавирусной инфекции (2019-nCoV), а также гражданам, привлеченным к реализации мероприятий по предупреждению распространения на территории Свердловской области новой коронавирусной инфекции (2019-nCoV), лекарственных препаратов в соответствии со</w:t>
      </w:r>
      <w:r>
        <w:t xml:space="preserve"> схемами лечения, утвержденными </w:t>
      </w:r>
      <w:r>
        <w:lastRenderedPageBreak/>
        <w:t>Министерством здравоохранения Свердловской области.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8. Министерству образования и молодежной политики Свердловской области организовать при необходимости в общеобразовательных организациях, организациях дополнительного образ</w:t>
      </w:r>
      <w:r>
        <w:t>ования, профессиональных образовательных организациях и образовательных организациях высшего образования, осуществляющих деятельность на территории Свердловской области, реализацию образовательных программ с использованием дистанционных образовательных тех</w:t>
      </w:r>
      <w:r>
        <w:t>нологий и электронного обучения в соответствии с графиками учебного процесса и индивидуальными учебными планами обучающихся.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9. Рекомендовать Главному управлению Министерства внутренних дел Российской Федерации по Свердловской области организовать контроль</w:t>
      </w:r>
      <w:r>
        <w:t xml:space="preserve"> за исполнением настоящего Указа в муниципальных образованиях, расположенных на территории Свердловской области.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10. Органам местного самоуправления муниципальных образований, расположенных на территории Свердловской области: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1) обеспечить проведение проти</w:t>
      </w:r>
      <w:r>
        <w:t>воэпидемических мероприятий в объеме, предусмотренном настоящим Указом;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2) при изменении санитарно-эпидемиологической обстановки обращаться к Губернатору Свердловской области с ходатайством об изменении комплекса ограничительных мер, предусмотренных настоя</w:t>
      </w:r>
      <w:r>
        <w:t>щим Указом.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 xml:space="preserve">11. Заместителю Губернатора Свердловской области П.В. Крекову обеспечить работу координационной </w:t>
      </w:r>
      <w:r>
        <w:lastRenderedPageBreak/>
        <w:t>комиссии по профилактике социально значимых заболеваний и санитарно-эпидемиологическому благополучию в Свердловской области в круглосуточном режиме.</w:t>
      </w:r>
    </w:p>
    <w:p w:rsidR="00876EFF" w:rsidRDefault="007162AF">
      <w:pPr>
        <w:pStyle w:val="ConsPlusNormal"/>
        <w:spacing w:before="240"/>
        <w:ind w:firstLine="540"/>
        <w:jc w:val="both"/>
      </w:pPr>
      <w:r>
        <w:t>12. Контроль за исполнением настоящего Указа оставляю за собой.</w:t>
      </w:r>
    </w:p>
    <w:p w:rsidR="00876EFF" w:rsidRDefault="00876EFF">
      <w:pPr>
        <w:pStyle w:val="ConsPlusNormal"/>
        <w:jc w:val="both"/>
      </w:pPr>
    </w:p>
    <w:p w:rsidR="00876EFF" w:rsidRDefault="007162AF">
      <w:pPr>
        <w:pStyle w:val="ConsPlusNormal"/>
        <w:jc w:val="right"/>
      </w:pPr>
      <w:r>
        <w:t>Губернатор</w:t>
      </w:r>
    </w:p>
    <w:p w:rsidR="00876EFF" w:rsidRDefault="007162AF">
      <w:pPr>
        <w:pStyle w:val="ConsPlusNormal"/>
        <w:jc w:val="right"/>
      </w:pPr>
      <w:r>
        <w:t>Свердловской области</w:t>
      </w:r>
    </w:p>
    <w:p w:rsidR="00876EFF" w:rsidRDefault="007162AF">
      <w:pPr>
        <w:pStyle w:val="ConsPlusNormal"/>
        <w:jc w:val="right"/>
      </w:pPr>
      <w:r>
        <w:t>Е.В.КУЙВАШЕВ</w:t>
      </w:r>
    </w:p>
    <w:p w:rsidR="00876EFF" w:rsidRDefault="007162AF">
      <w:pPr>
        <w:pStyle w:val="ConsPlusNormal"/>
      </w:pPr>
      <w:r>
        <w:t>г. Екатеринбург</w:t>
      </w:r>
    </w:p>
    <w:p w:rsidR="00876EFF" w:rsidRDefault="007162AF">
      <w:pPr>
        <w:pStyle w:val="ConsPlusNormal"/>
        <w:spacing w:before="240"/>
      </w:pPr>
      <w:r>
        <w:t>18 марта 2020 года</w:t>
      </w:r>
    </w:p>
    <w:p w:rsidR="00876EFF" w:rsidRDefault="007162AF">
      <w:pPr>
        <w:pStyle w:val="ConsPlusNormal"/>
        <w:spacing w:before="240"/>
      </w:pPr>
      <w:r>
        <w:t>N 100-УГ</w:t>
      </w:r>
    </w:p>
    <w:p w:rsidR="00876EFF" w:rsidRDefault="00876EFF">
      <w:pPr>
        <w:pStyle w:val="ConsPlusNormal"/>
        <w:jc w:val="both"/>
      </w:pPr>
    </w:p>
    <w:p w:rsidR="00876EFF" w:rsidRDefault="00876EFF">
      <w:pPr>
        <w:pStyle w:val="ConsPlusNormal"/>
        <w:jc w:val="both"/>
      </w:pPr>
    </w:p>
    <w:p w:rsidR="00876EFF" w:rsidRDefault="00876EFF">
      <w:pPr>
        <w:pStyle w:val="ConsPlus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00" w:after="100"/>
        <w:jc w:val="both"/>
      </w:pPr>
    </w:p>
    <w:p w:rsidR="00876EFF" w:rsidRDefault="00876EFF">
      <w:pPr>
        <w:pStyle w:val="Standard"/>
      </w:pPr>
    </w:p>
    <w:sectPr w:rsidR="00876EF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2AF" w:rsidRDefault="007162AF">
      <w:r>
        <w:separator/>
      </w:r>
    </w:p>
  </w:endnote>
  <w:endnote w:type="continuationSeparator" w:id="0">
    <w:p w:rsidR="007162AF" w:rsidRDefault="0071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2AF" w:rsidRDefault="007162AF">
      <w:r>
        <w:rPr>
          <w:color w:val="000000"/>
        </w:rPr>
        <w:separator/>
      </w:r>
    </w:p>
  </w:footnote>
  <w:footnote w:type="continuationSeparator" w:id="0">
    <w:p w:rsidR="007162AF" w:rsidRDefault="00716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76EFF"/>
    <w:rsid w:val="007162AF"/>
    <w:rsid w:val="00876EFF"/>
    <w:rsid w:val="008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66ACBAA-244A-467D-AEA4-66FB2279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Arial" w:hAnsi="Arial" w:cs="Arial"/>
    </w:rPr>
  </w:style>
  <w:style w:type="paragraph" w:customStyle="1" w:styleId="ConsPlusNonformat">
    <w:name w:val="ConsPlusNonformat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ConsPlusNormal"/>
    <w:pPr>
      <w:autoSpaceDE w:val="0"/>
    </w:pPr>
    <w:rPr>
      <w:rFonts w:ascii="Arial" w:eastAsia="Arial" w:hAnsi="Arial" w:cs="Arial"/>
      <w:b/>
      <w:bCs/>
    </w:rPr>
  </w:style>
  <w:style w:type="paragraph" w:customStyle="1" w:styleId="ConsPlusCell">
    <w:name w:val="ConsPlusCell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DocList">
    <w:name w:val="ConsPlusDocList"/>
    <w:next w:val="ConsPlusNormal"/>
    <w:pPr>
      <w:autoSpaceDE w:val="0"/>
    </w:pPr>
    <w:rPr>
      <w:rFonts w:ascii="Courier New" w:eastAsia="Courier New" w:hAnsi="Courier New" w:cs="Courier New"/>
    </w:rPr>
  </w:style>
  <w:style w:type="paragraph" w:customStyle="1" w:styleId="ConsPlusTitlePage">
    <w:name w:val="ConsPlusTitlePage"/>
    <w:next w:val="ConsPlusNormal"/>
    <w:pPr>
      <w:autoSpaceDE w:val="0"/>
    </w:pPr>
    <w:rPr>
      <w:rFonts w:ascii="Tahoma" w:eastAsia="Tahoma" w:hAnsi="Tahoma" w:cs="Tahoma"/>
    </w:rPr>
  </w:style>
  <w:style w:type="paragraph" w:customStyle="1" w:styleId="ConsPlusJurTerm">
    <w:name w:val="ConsPlusJurTerm"/>
    <w:next w:val="ConsPlusNormal"/>
    <w:pPr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TextList">
    <w:name w:val="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WW-ConsPlusTextList">
    <w:name w:val="WW-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8F1D35C9F7A2E7A14D5CCDF806F019262FB979F225853C7B88CDD8F7ADFE94AA2CA2F1B2A70F332CC4750C60D5430FB88AF5B761F668C4F555CC7e259L" TargetMode="External"/><Relationship Id="rId13" Type="http://schemas.openxmlformats.org/officeDocument/2006/relationships/hyperlink" Target="consultantplus://offline/ref=9778F1D35C9F7A2E7A14CBC1C9EC310B9060A5989420540398ED8A8AD02AD9BC0AE2CC7A586E7CFA3BC7130185530D61BCC3A25D6B036688e553L" TargetMode="External"/><Relationship Id="rId18" Type="http://schemas.openxmlformats.org/officeDocument/2006/relationships/hyperlink" Target="consultantplus://offline/ref=9778F1D35C9F7A2E7A14D5CCDF806F019262FB979F235F55CDBB8CDD8F7ADFE94AA2CA2F1B2A70F332CC4750C90D5430FB88AF5B761F668C4F555CC7e25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78F1D35C9F7A2E7A14D5CCDF806F019262FB979F225B55C3BB8CDD8F7ADFE94AA2CA2F1B2A70F332CC4750C60D5430FB88AF5B761F668C4F555CC7e259L" TargetMode="External"/><Relationship Id="rId12" Type="http://schemas.openxmlformats.org/officeDocument/2006/relationships/hyperlink" Target="consultantplus://offline/ref=9778F1D35C9F7A2E7A14CBC1C9EC310B9060A5989420540398ED8A8AD02AD9BC0AE2CC7A586E79F135C7130185530D61BCC3A25D6B036688e553L" TargetMode="External"/><Relationship Id="rId17" Type="http://schemas.openxmlformats.org/officeDocument/2006/relationships/hyperlink" Target="consultantplus://offline/ref=9778F1D35C9F7A2E7A14D5CCDF806F019262FB979F235F55CDBB8CDD8F7ADFE94AA2CA2F1B2A70F332CC4750C80D5430FB88AF5B761F668C4F555CC7e25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78F1D35C9F7A2E7A14D5CCDF806F019262FB979F235F55CDBB8CDD8F7ADFE94AA2CA2F1B2A70F332CC4750C90D5430FB88AF5B761F668C4F555CC7e259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" TargetMode="External"/><Relationship Id="rId11" Type="http://schemas.openxmlformats.org/officeDocument/2006/relationships/hyperlink" Target="consultantplus://offline/ref=9778F1D35C9F7A2E7A14CBC1C9EC310B9769A09C9820540398ED8A8AD02AD9BC0AE2CC79596776A66388125DC1051E61B9C3A05B77e053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778F1D35C9F7A2E7A14D5CCDF806F019262FB979F225A54C5BB8CDD8F7ADFE94AA2CA2F1B2A70F136C7130185530D61BCC3A25D6B036688e553L" TargetMode="External"/><Relationship Id="rId10" Type="http://schemas.openxmlformats.org/officeDocument/2006/relationships/hyperlink" Target="consultantplus://offline/ref=9778F1D35C9F7A2E7A14CBC1C9EC310B9769A09C9820540398ED8A8AD02AD9BC0AE2CC7A5A6776A66388125DC1051E61B9C3A05B77e053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78F1D35C9F7A2E7A14D5CCDF806F019262FB979F235F55CDBB8CDD8F7ADFE94AA2CA2F1B2A70F332CC4750C60D5430FB88AF5B761F668C4F555CC7e259L" TargetMode="External"/><Relationship Id="rId14" Type="http://schemas.openxmlformats.org/officeDocument/2006/relationships/hyperlink" Target="consultantplus://offline/ref=9778F1D35C9F7A2E7A14D5CCDF806F019262FB979F225A54C5BB8CDD8F7ADFE94AA2CA2F1B2A70F130C7130185530D61BCC3A25D6B036688e55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Ларионова Юлия Валерьевна</cp:lastModifiedBy>
  <cp:revision>2</cp:revision>
  <dcterms:created xsi:type="dcterms:W3CDTF">2022-06-03T12:23:00Z</dcterms:created>
  <dcterms:modified xsi:type="dcterms:W3CDTF">2022-06-03T12:23:00Z</dcterms:modified>
</cp:coreProperties>
</file>